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pgBorders>
            <w:top w:val="none" w:sz="0" w:space="0"/>
            <w:left w:val="none" w:sz="0" w:space="0"/>
            <w:bottom w:val="none" w:sz="0" w:space="0"/>
            <w:right w:val="none" w:sz="0" w:space="0"/>
          </w:pgBorders>
          <w:cols w:space="425" w:num="1"/>
          <w:titlePg/>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3360;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5408;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4384;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2336;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default"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香河县民政局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6432"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6432;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70" w:lineRule="exac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（一）</w:t>
      </w:r>
      <w:r>
        <w:rPr>
          <w:rFonts w:hint="eastAsia" w:ascii="仿宋_GB2312" w:eastAsia="仿宋_GB2312"/>
          <w:sz w:val="32"/>
          <w:szCs w:val="32"/>
        </w:rPr>
        <w:t>贯彻执行民政工作的法律法规及方针政策；拟订全</w:t>
      </w:r>
      <w:r>
        <w:rPr>
          <w:rFonts w:hint="eastAsia" w:ascii="仿宋_GB2312" w:hAnsi="仿宋_GB2312" w:eastAsia="仿宋_GB2312" w:cs="仿宋_GB2312"/>
          <w:sz w:val="32"/>
          <w:szCs w:val="32"/>
        </w:rPr>
        <w:t>县</w:t>
      </w:r>
      <w:r>
        <w:rPr>
          <w:rFonts w:hint="eastAsia" w:ascii="仿宋_GB2312" w:eastAsia="仿宋_GB2312"/>
          <w:sz w:val="32"/>
          <w:szCs w:val="32"/>
        </w:rPr>
        <w:t>民政事业发展规划和相关政策；负责全</w:t>
      </w:r>
      <w:r>
        <w:rPr>
          <w:rFonts w:hint="eastAsia" w:ascii="仿宋_GB2312" w:hAnsi="仿宋_GB2312" w:eastAsia="仿宋_GB2312" w:cs="仿宋_GB2312"/>
          <w:sz w:val="32"/>
          <w:szCs w:val="32"/>
        </w:rPr>
        <w:t>县</w:t>
      </w:r>
      <w:r>
        <w:rPr>
          <w:rFonts w:hint="eastAsia" w:ascii="仿宋_GB2312" w:eastAsia="仿宋_GB2312"/>
          <w:sz w:val="32"/>
          <w:szCs w:val="32"/>
        </w:rPr>
        <w:t>民政行政执法监督检查、行政复议工作。</w:t>
      </w:r>
    </w:p>
    <w:p>
      <w:pPr>
        <w:pStyle w:val="4"/>
        <w:spacing w:line="240" w:lineRule="auto"/>
        <w:ind w:left="0" w:leftChars="0" w:firstLine="640" w:firstLineChars="200"/>
        <w:rPr>
          <w:rFonts w:hint="eastAsia" w:hAnsi="宋体"/>
        </w:rPr>
      </w:pPr>
      <w:r>
        <w:rPr>
          <w:rFonts w:hint="eastAsia" w:hAnsi="仿宋_GB2312" w:cs="仿宋_GB2312"/>
        </w:rPr>
        <w:t>（二）</w:t>
      </w:r>
      <w:r>
        <w:rPr>
          <w:rFonts w:hint="eastAsia" w:hAnsi="宋体"/>
        </w:rPr>
        <w:t>负责依法对社会团体、民办非企业单位进行管理和执法监察；依法对全</w:t>
      </w:r>
      <w:r>
        <w:rPr>
          <w:rFonts w:hint="eastAsia" w:hAnsi="仿宋_GB2312" w:cs="仿宋_GB2312"/>
        </w:rPr>
        <w:t>县</w:t>
      </w:r>
      <w:r>
        <w:rPr>
          <w:rFonts w:hint="eastAsia" w:hAnsi="宋体"/>
        </w:rPr>
        <w:t>社会组织进行管理和监督检查；承担</w:t>
      </w:r>
      <w:r>
        <w:rPr>
          <w:rFonts w:hint="eastAsia" w:hAnsi="仿宋_GB2312" w:cs="仿宋_GB2312"/>
        </w:rPr>
        <w:t>县</w:t>
      </w:r>
      <w:r>
        <w:rPr>
          <w:rFonts w:hint="eastAsia" w:hAnsi="宋体"/>
        </w:rPr>
        <w:t>社会组织党委日常工作。</w: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（三）</w:t>
      </w:r>
      <w:r>
        <w:rPr>
          <w:rFonts w:hint="eastAsia" w:ascii="仿宋_GB2312" w:eastAsia="仿宋_GB2312"/>
          <w:sz w:val="32"/>
          <w:szCs w:val="32"/>
        </w:rPr>
        <w:t>拟订全</w:t>
      </w:r>
      <w:r>
        <w:rPr>
          <w:rFonts w:hint="eastAsia" w:ascii="仿宋_GB2312" w:hAnsi="仿宋_GB2312" w:eastAsia="仿宋_GB2312" w:cs="仿宋_GB2312"/>
          <w:sz w:val="32"/>
          <w:szCs w:val="32"/>
        </w:rPr>
        <w:t>县</w:t>
      </w:r>
      <w:r>
        <w:rPr>
          <w:rFonts w:hint="eastAsia" w:ascii="仿宋_GB2312" w:eastAsia="仿宋_GB2312"/>
          <w:sz w:val="32"/>
          <w:szCs w:val="32"/>
        </w:rPr>
        <w:t>社会救助政策和标准，统筹城乡社会救助体系建设；负责城乡居民最低生活保障、特困人员救助供养、临时救助和生活无着流浪乞讨人员救助工作。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（四）拟订县基层群众自治和城乡社区治理政策，指导城乡社区治理体系和能力建设，</w:t>
      </w:r>
      <w:r>
        <w:rPr>
          <w:rFonts w:hint="eastAsia" w:ascii="仿宋_GB2312" w:eastAsia="仿宋_GB2312"/>
          <w:sz w:val="32"/>
          <w:szCs w:val="32"/>
        </w:rPr>
        <w:t>提出加强和改进基层政权建设的建议，推进基层民主政治建设。</w: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（五）</w:t>
      </w:r>
      <w:r>
        <w:rPr>
          <w:rFonts w:hint="eastAsia" w:ascii="仿宋_GB2312" w:eastAsia="仿宋_GB2312"/>
          <w:sz w:val="32"/>
          <w:szCs w:val="32"/>
        </w:rPr>
        <w:t>拟订全</w:t>
      </w:r>
      <w:r>
        <w:rPr>
          <w:rFonts w:hint="eastAsia" w:ascii="仿宋_GB2312" w:hAnsi="仿宋_GB2312" w:eastAsia="仿宋_GB2312" w:cs="仿宋_GB2312"/>
          <w:sz w:val="32"/>
          <w:szCs w:val="32"/>
        </w:rPr>
        <w:t>县</w:t>
      </w:r>
      <w:r>
        <w:rPr>
          <w:rFonts w:hint="eastAsia" w:ascii="仿宋_GB2312" w:eastAsia="仿宋_GB2312"/>
          <w:sz w:val="32"/>
          <w:szCs w:val="32"/>
        </w:rPr>
        <w:t>行政区划总体规划和相关政策；负责各镇</w:t>
      </w:r>
      <w:r>
        <w:rPr>
          <w:rFonts w:hint="eastAsia" w:ascii="仿宋_GB2312" w:eastAsia="仿宋_GB2312"/>
          <w:sz w:val="32"/>
          <w:szCs w:val="32"/>
          <w:lang w:eastAsia="zh-CN"/>
        </w:rPr>
        <w:t>（区）</w:t>
      </w:r>
      <w:r>
        <w:rPr>
          <w:rFonts w:hint="eastAsia" w:ascii="仿宋_GB2312" w:eastAsia="仿宋_GB2312"/>
          <w:sz w:val="32"/>
          <w:szCs w:val="32"/>
        </w:rPr>
        <w:t>的设立、命名、更名、变更及政府驻地迁移的调查、论证和申报工作；负责辖区内街道办事处的设立、撤销、调整、命名、更名、界线变更及驻地迁移的申报工作；负责全</w:t>
      </w:r>
      <w:r>
        <w:rPr>
          <w:rFonts w:hint="eastAsia" w:ascii="仿宋_GB2312" w:hAnsi="仿宋_GB2312" w:eastAsia="仿宋_GB2312" w:cs="仿宋_GB2312"/>
          <w:sz w:val="32"/>
          <w:szCs w:val="32"/>
        </w:rPr>
        <w:t>县</w:t>
      </w:r>
      <w:r>
        <w:rPr>
          <w:rFonts w:hint="eastAsia" w:ascii="仿宋_GB2312" w:eastAsia="仿宋_GB2312"/>
          <w:sz w:val="32"/>
          <w:szCs w:val="32"/>
        </w:rPr>
        <w:t>地名管理工作，组织实施地名公共服务工程；负责编辑和审定全</w:t>
      </w:r>
      <w:r>
        <w:rPr>
          <w:rFonts w:hint="eastAsia" w:ascii="仿宋_GB2312" w:hAnsi="仿宋_GB2312" w:eastAsia="仿宋_GB2312" w:cs="仿宋_GB2312"/>
          <w:sz w:val="32"/>
          <w:szCs w:val="32"/>
        </w:rPr>
        <w:t>县</w:t>
      </w:r>
      <w:r>
        <w:rPr>
          <w:rFonts w:hint="eastAsia" w:ascii="仿宋_GB2312" w:eastAsia="仿宋_GB2312"/>
          <w:sz w:val="32"/>
          <w:szCs w:val="32"/>
        </w:rPr>
        <w:t>行政区划和标准地名书图资料；负责</w:t>
      </w:r>
      <w:r>
        <w:rPr>
          <w:rFonts w:hint="eastAsia" w:ascii="仿宋_GB2312" w:hAnsi="仿宋_GB2312" w:eastAsia="仿宋_GB2312" w:cs="仿宋_GB2312"/>
          <w:sz w:val="32"/>
          <w:szCs w:val="32"/>
        </w:rPr>
        <w:t>县</w:t>
      </w:r>
      <w:r>
        <w:rPr>
          <w:rFonts w:hint="eastAsia" w:ascii="仿宋_GB2312" w:eastAsia="仿宋_GB2312"/>
          <w:sz w:val="32"/>
          <w:szCs w:val="32"/>
        </w:rPr>
        <w:t>级行政区域界线的日常管理工作；承办有关仲裁工作。</w: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（六）</w:t>
      </w:r>
      <w:r>
        <w:rPr>
          <w:rFonts w:hint="eastAsia" w:ascii="仿宋_GB2312" w:eastAsia="仿宋_GB2312"/>
          <w:sz w:val="32"/>
          <w:szCs w:val="32"/>
        </w:rPr>
        <w:t>拟订全</w:t>
      </w:r>
      <w:r>
        <w:rPr>
          <w:rFonts w:hint="eastAsia" w:ascii="仿宋_GB2312" w:hAnsi="仿宋_GB2312" w:eastAsia="仿宋_GB2312" w:cs="仿宋_GB2312"/>
          <w:sz w:val="32"/>
          <w:szCs w:val="32"/>
        </w:rPr>
        <w:t>县</w:t>
      </w:r>
      <w:r>
        <w:rPr>
          <w:rFonts w:hint="eastAsia" w:ascii="仿宋_GB2312" w:eastAsia="仿宋_GB2312"/>
          <w:sz w:val="32"/>
          <w:szCs w:val="32"/>
        </w:rPr>
        <w:t>婚姻、殡葬</w:t>
      </w:r>
      <w:r>
        <w:rPr>
          <w:rFonts w:hint="eastAsia" w:ascii="仿宋_GB2312" w:hAnsi="仿宋_GB2312" w:eastAsia="仿宋_GB2312" w:cs="仿宋_GB2312"/>
          <w:sz w:val="32"/>
          <w:szCs w:val="32"/>
        </w:rPr>
        <w:t>管理</w:t>
      </w:r>
      <w:r>
        <w:rPr>
          <w:rFonts w:hint="eastAsia" w:ascii="仿宋_GB2312" w:eastAsia="仿宋_GB2312"/>
          <w:sz w:val="32"/>
          <w:szCs w:val="32"/>
        </w:rPr>
        <w:t>政策并组织实施；推进婚俗和殡葬改革；指导婚姻、殡葬服务机构管理工作。</w:t>
      </w:r>
    </w:p>
    <w:p>
      <w:pPr>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（七）统筹推进、督促指导、监督管理全县养老服务工作；拟订全县养老服务体系建设规划、政策、标准并组织实施；承担老年人福利和特殊困难老年人救助工作。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（八）拟订全县残疾人权益保护政策并组织实施；统筹推进残疾人福利制度建设和</w:t>
      </w:r>
      <w:r>
        <w:rPr>
          <w:rFonts w:hint="eastAsia" w:ascii="仿宋_GB2312" w:eastAsia="仿宋_GB2312"/>
          <w:sz w:val="32"/>
          <w:szCs w:val="32"/>
        </w:rPr>
        <w:t>康复辅助器具产业发展。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（九）拟订全县儿童福利、孤弃儿童保障、儿童收养、儿童救助保护政策、标准；健全农村留守儿童关爱服务体系和困境儿童保障制度。</w:t>
      </w:r>
    </w:p>
    <w:p>
      <w:pPr>
        <w:pStyle w:val="4"/>
        <w:spacing w:line="240" w:lineRule="auto"/>
        <w:rPr>
          <w:rFonts w:hint="eastAsia" w:hAnsi="仿宋_GB2312" w:cs="仿宋_GB2312"/>
        </w:rPr>
      </w:pPr>
      <w:r>
        <w:rPr>
          <w:rFonts w:hint="eastAsia" w:hAnsi="仿宋_GB2312" w:cs="仿宋_GB2312"/>
        </w:rPr>
        <w:t>（十）</w:t>
      </w:r>
      <w:r>
        <w:rPr>
          <w:rFonts w:hint="eastAsia"/>
        </w:rPr>
        <w:t>拟订促进全</w:t>
      </w:r>
      <w:r>
        <w:rPr>
          <w:rFonts w:hint="eastAsia" w:hAnsi="仿宋_GB2312" w:cs="仿宋_GB2312"/>
        </w:rPr>
        <w:t>县</w:t>
      </w:r>
      <w:r>
        <w:rPr>
          <w:rFonts w:hint="eastAsia"/>
        </w:rPr>
        <w:t>慈善事业发展政策；组织指导社会捐助工作；负责福利彩票管理工作。</w:t>
      </w:r>
    </w:p>
    <w:p>
      <w:pPr>
        <w:ind w:firstLine="640" w:firstLineChars="200"/>
        <w:rPr>
          <w:rFonts w:hint="eastAsia"/>
        </w:rPr>
      </w:pPr>
      <w:r>
        <w:rPr>
          <w:rFonts w:hint="eastAsia" w:ascii="仿宋_GB2312" w:hAnsi="仿宋_GB2312" w:eastAsia="仿宋_GB2312" w:cs="仿宋_GB2312"/>
          <w:sz w:val="32"/>
          <w:szCs w:val="32"/>
        </w:rPr>
        <w:t>（十</w:t>
      </w:r>
      <w:r>
        <w:rPr>
          <w:rFonts w:hint="eastAsia" w:hAnsi="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sz w:val="32"/>
          <w:szCs w:val="32"/>
        </w:rPr>
        <w:t>拟订全</w:t>
      </w:r>
      <w:r>
        <w:rPr>
          <w:rFonts w:hint="eastAsia" w:ascii="仿宋_GB2312" w:hAnsi="仿宋_GB2312" w:eastAsia="仿宋_GB2312" w:cs="仿宋_GB2312"/>
          <w:sz w:val="32"/>
          <w:szCs w:val="32"/>
        </w:rPr>
        <w:t>县</w:t>
      </w:r>
      <w:r>
        <w:rPr>
          <w:rFonts w:hint="eastAsia" w:ascii="仿宋_GB2312" w:hAnsi="仿宋_GB2312" w:eastAsia="仿宋_GB2312"/>
          <w:sz w:val="32"/>
          <w:szCs w:val="32"/>
        </w:rPr>
        <w:t>社会工作、志愿者服务政策和标准；会同有关部门推进全</w:t>
      </w:r>
      <w:r>
        <w:rPr>
          <w:rFonts w:hint="eastAsia" w:ascii="仿宋_GB2312" w:hAnsi="仿宋_GB2312" w:eastAsia="仿宋_GB2312" w:cs="仿宋_GB2312"/>
          <w:sz w:val="32"/>
          <w:szCs w:val="32"/>
        </w:rPr>
        <w:t>县</w:t>
      </w:r>
      <w:r>
        <w:rPr>
          <w:rFonts w:hint="eastAsia" w:ascii="仿宋_GB2312" w:hAnsi="仿宋_GB2312" w:eastAsia="仿宋_GB2312"/>
          <w:sz w:val="32"/>
          <w:szCs w:val="32"/>
        </w:rPr>
        <w:t>社会工作人才队伍建设和志愿者队伍建设。</w:t>
      </w:r>
    </w:p>
    <w:p>
      <w:pPr>
        <w:spacing w:line="600" w:lineRule="exact"/>
        <w:jc w:val="left"/>
        <w:rPr>
          <w:rFonts w:hint="eastAsia"/>
        </w:rPr>
      </w:pPr>
      <w:r>
        <w:rPr>
          <w:rFonts w:hint="eastAsia" w:ascii="仿宋_GB2312" w:hAnsi="仿宋_GB2312" w:eastAsia="仿宋_GB2312" w:cs="仿宋_GB2312"/>
          <w:sz w:val="32"/>
          <w:szCs w:val="32"/>
        </w:rPr>
        <w:t xml:space="preserve">    （十二）贯彻落实党和国家各项扶贫开发方针政策和法律法规，组织落实国家、省、市扶贫开发规划，拟订全县扶贫开发长期规划和年度计划并组织实施。</w:t>
      </w:r>
    </w:p>
    <w:p>
      <w:pPr>
        <w:spacing w:line="600" w:lineRule="exact"/>
        <w:jc w:val="left"/>
        <w:rPr>
          <w:rFonts w:ascii="Times New Roman" w:hAnsi="Times New Roman" w:eastAsia="仿宋_GB2312" w:cs="Times New Roman"/>
          <w:color w:val="000000"/>
          <w:sz w:val="32"/>
          <w:szCs w:val="32"/>
          <w:shd w:val="clear" w:color="auto" w:fill="FFFFFF"/>
        </w:rPr>
      </w:pPr>
      <w:r>
        <w:rPr>
          <w:rFonts w:hint="eastAsia" w:ascii="仿宋_GB2312" w:hAnsi="仿宋_GB2312" w:eastAsia="仿宋_GB2312" w:cs="仿宋_GB2312"/>
          <w:sz w:val="32"/>
          <w:szCs w:val="32"/>
        </w:rPr>
        <w:t xml:space="preserve">    （十三）完成县委、县政府交办的其他任务。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default" w:ascii="仿宋_GB2312" w:hAnsi="Calibri" w:eastAsia="仿宋_GB2312" w:cs="ArialUnicodeMS"/>
          <w:kern w:val="0"/>
          <w:sz w:val="32"/>
          <w:szCs w:val="32"/>
          <w:lang w:val="en-US"/>
        </w:rPr>
        <w:t>2</w:t>
      </w:r>
      <w:r>
        <w:rPr>
          <w:rFonts w:hint="eastAsia" w:ascii="仿宋_GB2312" w:hAnsi="Calibri" w:eastAsia="仿宋_GB2312" w:cs="ArialUnicodeMS"/>
          <w:kern w:val="0"/>
          <w:sz w:val="32"/>
          <w:szCs w:val="32"/>
        </w:rPr>
        <w:t>个，具体情况如下：</w:t>
      </w:r>
    </w:p>
    <w:tbl>
      <w:tblPr>
        <w:tblStyle w:val="8"/>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center"/>
          </w:tcPr>
          <w:p>
            <w:pPr>
              <w:spacing w:line="300" w:lineRule="exact"/>
              <w:jc w:val="left"/>
              <w:rPr>
                <w:rFonts w:hint="eastAsia" w:ascii="仿宋" w:hAnsi="仿宋" w:eastAsia="仿宋" w:cs="仿宋"/>
                <w:kern w:val="0"/>
                <w:sz w:val="21"/>
                <w:szCs w:val="21"/>
                <w:lang w:val="en-US" w:eastAsia="zh-CN" w:bidi="ar-SA"/>
              </w:rPr>
            </w:pPr>
            <w:r>
              <w:rPr>
                <w:rFonts w:hint="eastAsia" w:ascii="仿宋" w:hAnsi="仿宋" w:eastAsia="仿宋" w:cs="仿宋"/>
                <w:sz w:val="21"/>
                <w:szCs w:val="21"/>
              </w:rPr>
              <w:t>香河县</w:t>
            </w:r>
            <w:r>
              <w:rPr>
                <w:rFonts w:hint="eastAsia" w:ascii="仿宋" w:hAnsi="仿宋" w:eastAsia="仿宋" w:cs="仿宋"/>
                <w:sz w:val="21"/>
                <w:szCs w:val="21"/>
                <w:lang w:eastAsia="zh-CN"/>
              </w:rPr>
              <w:t>民政</w:t>
            </w:r>
            <w:r>
              <w:rPr>
                <w:rFonts w:hint="eastAsia" w:ascii="仿宋" w:hAnsi="仿宋" w:eastAsia="仿宋" w:cs="仿宋"/>
                <w:sz w:val="21"/>
                <w:szCs w:val="21"/>
              </w:rPr>
              <w:t>局机关</w:t>
            </w:r>
            <w:r>
              <w:rPr>
                <w:rFonts w:hint="eastAsia" w:ascii="仿宋" w:hAnsi="仿宋" w:eastAsia="仿宋" w:cs="仿宋"/>
                <w:sz w:val="21"/>
                <w:szCs w:val="21"/>
                <w:lang w:eastAsia="zh-CN"/>
              </w:rPr>
              <w:t>（本级）</w:t>
            </w:r>
          </w:p>
        </w:tc>
        <w:tc>
          <w:tcPr>
            <w:tcW w:w="2445" w:type="dxa"/>
            <w:vAlign w:val="center"/>
          </w:tcPr>
          <w:p>
            <w:pPr>
              <w:spacing w:line="300" w:lineRule="exact"/>
              <w:jc w:val="center"/>
              <w:rPr>
                <w:rFonts w:hint="eastAsia" w:ascii="仿宋" w:hAnsi="仿宋" w:eastAsia="仿宋" w:cs="仿宋"/>
                <w:kern w:val="0"/>
                <w:sz w:val="21"/>
                <w:szCs w:val="21"/>
                <w:lang w:val="en-US" w:eastAsia="zh-CN" w:bidi="ar-SA"/>
              </w:rPr>
            </w:pPr>
            <w:r>
              <w:rPr>
                <w:rFonts w:hint="eastAsia" w:ascii="仿宋" w:hAnsi="仿宋" w:eastAsia="仿宋" w:cs="仿宋"/>
                <w:sz w:val="21"/>
                <w:szCs w:val="21"/>
              </w:rPr>
              <w:t>行政</w:t>
            </w:r>
            <w:r>
              <w:rPr>
                <w:rFonts w:hint="eastAsia" w:ascii="仿宋" w:hAnsi="仿宋" w:eastAsia="仿宋" w:cs="仿宋"/>
                <w:sz w:val="21"/>
                <w:szCs w:val="21"/>
                <w:lang w:eastAsia="zh-CN"/>
              </w:rPr>
              <w:t>单位</w:t>
            </w:r>
          </w:p>
        </w:tc>
        <w:tc>
          <w:tcPr>
            <w:tcW w:w="2665" w:type="dxa"/>
            <w:vAlign w:val="center"/>
          </w:tcPr>
          <w:p>
            <w:pPr>
              <w:spacing w:line="300" w:lineRule="exact"/>
              <w:jc w:val="center"/>
              <w:rPr>
                <w:rFonts w:hint="eastAsia" w:ascii="仿宋" w:hAnsi="仿宋" w:eastAsia="仿宋" w:cs="仿宋"/>
                <w:kern w:val="0"/>
                <w:sz w:val="21"/>
                <w:szCs w:val="21"/>
                <w:lang w:val="en-US" w:eastAsia="zh-CN" w:bidi="ar-SA"/>
              </w:rPr>
            </w:pPr>
            <w:r>
              <w:rPr>
                <w:rFonts w:hint="eastAsia" w:ascii="仿宋" w:hAnsi="仿宋" w:eastAsia="仿宋" w:cs="仿宋"/>
                <w:sz w:val="21"/>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vAlign w:val="center"/>
          </w:tcPr>
          <w:p>
            <w:pPr>
              <w:spacing w:line="300" w:lineRule="exact"/>
              <w:jc w:val="left"/>
              <w:rPr>
                <w:rFonts w:hint="eastAsia" w:ascii="仿宋" w:hAnsi="仿宋" w:eastAsia="仿宋" w:cs="仿宋"/>
                <w:kern w:val="0"/>
                <w:sz w:val="21"/>
                <w:szCs w:val="21"/>
                <w:lang w:val="en-US" w:eastAsia="zh-CN" w:bidi="ar-SA"/>
              </w:rPr>
            </w:pPr>
            <w:r>
              <w:rPr>
                <w:rFonts w:hint="eastAsia" w:ascii="仿宋" w:hAnsi="仿宋" w:eastAsia="仿宋" w:cs="仿宋"/>
                <w:sz w:val="21"/>
                <w:szCs w:val="21"/>
              </w:rPr>
              <w:t>香河县</w:t>
            </w:r>
            <w:r>
              <w:rPr>
                <w:rFonts w:hint="eastAsia" w:ascii="仿宋" w:hAnsi="仿宋" w:eastAsia="仿宋" w:cs="仿宋"/>
                <w:sz w:val="21"/>
                <w:szCs w:val="21"/>
                <w:lang w:eastAsia="zh-CN"/>
              </w:rPr>
              <w:t>殡仪馆</w:t>
            </w:r>
          </w:p>
        </w:tc>
        <w:tc>
          <w:tcPr>
            <w:tcW w:w="2445" w:type="dxa"/>
            <w:vAlign w:val="center"/>
          </w:tcPr>
          <w:p>
            <w:pPr>
              <w:spacing w:line="300" w:lineRule="exact"/>
              <w:jc w:val="center"/>
              <w:rPr>
                <w:rFonts w:hint="eastAsia" w:ascii="仿宋" w:hAnsi="仿宋" w:eastAsia="仿宋" w:cs="仿宋"/>
                <w:kern w:val="0"/>
                <w:sz w:val="21"/>
                <w:szCs w:val="21"/>
                <w:lang w:val="en-US" w:eastAsia="zh-CN" w:bidi="ar-SA"/>
              </w:rPr>
            </w:pPr>
            <w:r>
              <w:rPr>
                <w:rFonts w:hint="eastAsia" w:ascii="仿宋" w:hAnsi="仿宋" w:eastAsia="仿宋" w:cs="仿宋"/>
                <w:sz w:val="21"/>
                <w:szCs w:val="21"/>
                <w:lang w:eastAsia="zh-CN"/>
              </w:rPr>
              <w:t>经费自理</w:t>
            </w:r>
            <w:r>
              <w:rPr>
                <w:rFonts w:hint="eastAsia" w:ascii="仿宋" w:hAnsi="仿宋" w:eastAsia="仿宋" w:cs="仿宋"/>
                <w:sz w:val="21"/>
                <w:szCs w:val="21"/>
              </w:rPr>
              <w:t>事业</w:t>
            </w:r>
            <w:r>
              <w:rPr>
                <w:rFonts w:hint="eastAsia" w:ascii="仿宋" w:hAnsi="仿宋" w:eastAsia="仿宋" w:cs="仿宋"/>
                <w:sz w:val="21"/>
                <w:szCs w:val="21"/>
                <w:lang w:eastAsia="zh-CN"/>
              </w:rPr>
              <w:t>单位</w:t>
            </w:r>
          </w:p>
        </w:tc>
        <w:tc>
          <w:tcPr>
            <w:tcW w:w="2665" w:type="dxa"/>
            <w:vAlign w:val="center"/>
          </w:tcPr>
          <w:p>
            <w:pPr>
              <w:spacing w:line="300" w:lineRule="exact"/>
              <w:jc w:val="center"/>
              <w:rPr>
                <w:rFonts w:hint="eastAsia" w:ascii="仿宋" w:hAnsi="仿宋" w:eastAsia="仿宋" w:cs="仿宋"/>
                <w:kern w:val="0"/>
                <w:sz w:val="21"/>
                <w:szCs w:val="21"/>
                <w:lang w:val="en-US" w:eastAsia="zh-CN" w:bidi="ar-SA"/>
              </w:rPr>
            </w:pPr>
            <w:r>
              <w:rPr>
                <w:rFonts w:hint="eastAsia" w:ascii="仿宋" w:hAnsi="仿宋" w:eastAsia="仿宋" w:cs="仿宋"/>
                <w:sz w:val="21"/>
                <w:szCs w:val="21"/>
              </w:rPr>
              <w:t>财政性资金零补助</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Borders>
            <w:top w:val="none" w:sz="0" w:space="0"/>
            <w:left w:val="none" w:sz="0" w:space="0"/>
            <w:bottom w:val="none" w:sz="0" w:space="0"/>
            <w:right w:val="none" w:sz="0" w:space="0"/>
          </w:pgBorders>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8480"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6848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w:t>
      </w:r>
      <w:r>
        <w:rPr>
          <w:rFonts w:hint="eastAsia" w:ascii="仿宋_GB2312" w:hAnsi="Times New Roman" w:eastAsia="仿宋_GB2312" w:cs="DengXian-Regular"/>
          <w:sz w:val="32"/>
          <w:szCs w:val="32"/>
          <w:lang w:val="en-US" w:eastAsia="zh-CN"/>
        </w:rPr>
        <w:t>入</w:t>
      </w:r>
      <w:r>
        <w:rPr>
          <w:rFonts w:hint="eastAsia" w:ascii="仿宋_GB2312" w:hAnsi="Times New Roman" w:eastAsia="仿宋_GB2312" w:cs="DengXian-Regular"/>
          <w:sz w:val="32"/>
          <w:szCs w:val="32"/>
        </w:rPr>
        <w:t>总计</w:t>
      </w:r>
      <w:r>
        <w:rPr>
          <w:rFonts w:hint="eastAsia" w:ascii="仿宋_GB2312" w:hAnsi="Times New Roman" w:eastAsia="仿宋_GB2312" w:cs="DengXian-Regular"/>
          <w:sz w:val="32"/>
          <w:szCs w:val="32"/>
          <w:lang w:val="en-US" w:eastAsia="zh-CN"/>
        </w:rPr>
        <w:t>12228.85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其中年初结转和结余868.66</w:t>
      </w:r>
      <w:r>
        <w:rPr>
          <w:rFonts w:hint="eastAsia" w:ascii="仿宋_GB2312" w:hAnsi="Times New Roman" w:eastAsia="仿宋_GB2312" w:cs="DengXian-Regular"/>
          <w:sz w:val="32"/>
          <w:szCs w:val="32"/>
        </w:rPr>
        <w:t>。与2018年度决算相比，收</w:t>
      </w:r>
      <w:r>
        <w:rPr>
          <w:rFonts w:hint="eastAsia" w:ascii="仿宋_GB2312" w:hAnsi="Times New Roman" w:eastAsia="仿宋_GB2312" w:cs="DengXian-Regular"/>
          <w:sz w:val="32"/>
          <w:szCs w:val="32"/>
          <w:lang w:val="en-US" w:eastAsia="zh-CN"/>
        </w:rPr>
        <w:t>入</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2536.12</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17</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11360.19</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11359.04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99</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其他</w:t>
      </w:r>
      <w:r>
        <w:rPr>
          <w:rFonts w:hint="eastAsia" w:ascii="仿宋_GB2312" w:hAnsi="Times New Roman" w:eastAsia="仿宋_GB2312" w:cs="DengXian-Regular"/>
          <w:sz w:val="32"/>
          <w:szCs w:val="32"/>
        </w:rPr>
        <w:t>收入</w:t>
      </w:r>
      <w:r>
        <w:rPr>
          <w:rFonts w:hint="eastAsia" w:ascii="仿宋_GB2312" w:hAnsi="Times New Roman" w:eastAsia="仿宋_GB2312" w:cs="DengXian-Regular"/>
          <w:sz w:val="32"/>
          <w:szCs w:val="32"/>
          <w:lang w:val="en-US" w:eastAsia="zh-CN"/>
        </w:rPr>
        <w:t>1.15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580" w:lineRule="exact"/>
        <w:ind w:firstLine="640" w:firstLineChars="200"/>
        <w:outlineLvl w:val="1"/>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11145.15</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1898.28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17</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9246.87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83</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11359.04</w:t>
      </w:r>
      <w:r>
        <w:rPr>
          <w:rFonts w:hint="eastAsia" w:ascii="仿宋_GB2312" w:hAnsi="Times New Roman" w:eastAsia="仿宋_GB2312" w:cs="DengXian-Regular"/>
          <w:sz w:val="32"/>
          <w:szCs w:val="32"/>
        </w:rPr>
        <w:t>万元,比2018年度增加（减少）</w:t>
      </w:r>
      <w:r>
        <w:rPr>
          <w:rFonts w:hint="eastAsia" w:ascii="仿宋_GB2312" w:hAnsi="Times New Roman" w:eastAsia="仿宋_GB2312" w:cs="DengXian-Regular"/>
          <w:sz w:val="32"/>
          <w:szCs w:val="32"/>
          <w:lang w:val="en-US" w:eastAsia="zh-CN"/>
        </w:rPr>
        <w:t>3405.93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11125.43</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3541.52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24.15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11360.19</w:t>
      </w:r>
      <w:r>
        <w:rPr>
          <w:rFonts w:hint="eastAsia" w:ascii="仿宋_GB2312" w:hAnsi="Times New Roman" w:eastAsia="仿宋_GB2312" w:cs="DengXian-Regular"/>
          <w:sz w:val="32"/>
          <w:szCs w:val="32"/>
        </w:rPr>
        <w:t>万元,比2018年度减少</w:t>
      </w:r>
      <w:r>
        <w:rPr>
          <w:rFonts w:hint="eastAsia" w:ascii="仿宋_GB2312" w:hAnsi="Times New Roman" w:eastAsia="仿宋_GB2312" w:cs="DengXian-Regular"/>
          <w:sz w:val="32"/>
          <w:szCs w:val="32"/>
          <w:lang w:val="en-US" w:eastAsia="zh-CN"/>
        </w:rPr>
        <w:t>3404.78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23.06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11125.43</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3541.52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24.15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11359.04</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3405.93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11124.28</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3535.52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24.12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0" w:leftChars="0"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1.15</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6.2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84.35</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1.15</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83.92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11360.19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72</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4398.63</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11125.43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70.6</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4633.39</w:t>
      </w:r>
      <w:r>
        <w:rPr>
          <w:rFonts w:hint="eastAsia" w:ascii="仿宋_GB2312" w:hAnsi="Times New Roman" w:eastAsia="仿宋_GB2312" w:cs="DengXian-Regular"/>
          <w:sz w:val="32"/>
          <w:szCs w:val="32"/>
        </w:rPr>
        <w:t>万元，决算数小于预算数主要原因是主要是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72.08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4399.78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70.59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4634.54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政府性基金预算财政拨款本年收入完成年初预算</w:t>
      </w:r>
      <w:r>
        <w:rPr>
          <w:rFonts w:hint="eastAsia" w:ascii="仿宋_GB2312" w:hAnsi="Times New Roman" w:eastAsia="仿宋_GB2312" w:cs="DengXian-Regular"/>
          <w:sz w:val="32"/>
          <w:szCs w:val="32"/>
          <w:lang w:val="en-US" w:eastAsia="zh-CN"/>
        </w:rPr>
        <w:t>23</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3.85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23</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3.85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11125.43</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15.48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0.14</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7888.91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70.91</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卫生健康（类）支出70.78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，占0.64%；农林水（类）支出83.01万元，占0.75%;援助其他地区（类）支出3000万元，占26.97%；</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26.11</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0.23</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灾害防治及应急管理（类）支出40万元，占0.36%；其他（类）支出1.15万元，占0.01%</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1878.56</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995.26</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883.3</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2.09</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55</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1.71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3.16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60.19</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具体情况如下：</w:t>
      </w:r>
    </w:p>
    <w:p>
      <w:pPr>
        <w:numPr>
          <w:ilvl w:val="0"/>
          <w:numId w:val="0"/>
        </w:num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eastAsia="楷体_GB2312" w:cs="DengXian-Bold"/>
          <w:b/>
          <w:bCs/>
          <w:sz w:val="32"/>
          <w:szCs w:val="32"/>
          <w:lang w:eastAsia="zh-CN"/>
        </w:rPr>
        <w:t>（一）</w:t>
      </w:r>
      <w:r>
        <w:rPr>
          <w:rFonts w:hint="eastAsia" w:ascii="楷体_GB2312" w:hAnsi="Times New Roman" w:eastAsia="楷体_GB2312" w:cs="DengXian-Bold"/>
          <w:b/>
          <w:bCs/>
          <w:sz w:val="32"/>
          <w:szCs w:val="32"/>
        </w:rPr>
        <w:t>因公出国（境）费支出</w:t>
      </w:r>
      <w:r>
        <w:rPr>
          <w:rFonts w:hint="eastAsia" w:ascii="楷体_GB2312"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hAnsi="Times New Roman" w:eastAsia="仿宋_GB2312" w:cs="DengXian-Regular"/>
          <w:sz w:val="32"/>
          <w:szCs w:val="32"/>
        </w:rPr>
        <w:t>年度因公出国（境）团组</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个、无本单位组织的出国（境）团组。因公出国（境）费支出较</w:t>
      </w:r>
      <w:r>
        <w:rPr>
          <w:rFonts w:hint="eastAsia" w:ascii="仿宋_GB2312" w:eastAsia="仿宋_GB2312" w:cs="DengXian-Regular"/>
          <w:sz w:val="32"/>
          <w:szCs w:val="32"/>
          <w:lang w:eastAsia="zh-CN"/>
        </w:rPr>
        <w:t>年初</w:t>
      </w:r>
      <w:r>
        <w:rPr>
          <w:rFonts w:hint="eastAsia" w:ascii="仿宋_GB2312" w:hAnsi="Times New Roman" w:eastAsia="仿宋_GB2312" w:cs="DengXian-Regular"/>
          <w:sz w:val="32"/>
          <w:szCs w:val="32"/>
        </w:rPr>
        <w:t>预算</w:t>
      </w:r>
      <w:r>
        <w:rPr>
          <w:rFonts w:hint="eastAsia" w:ascii="仿宋_GB2312" w:eastAsia="仿宋_GB2312" w:cs="DengXian-Regular"/>
          <w:sz w:val="32"/>
          <w:szCs w:val="32"/>
          <w:lang w:eastAsia="zh-CN"/>
        </w:rPr>
        <w:t>无增减变化，</w:t>
      </w:r>
      <w:r>
        <w:rPr>
          <w:rFonts w:hint="eastAsia" w:ascii="仿宋_GB2312" w:hAnsi="Times New Roman" w:eastAsia="仿宋_GB2312" w:cs="DengXian-Regular"/>
          <w:sz w:val="32"/>
          <w:szCs w:val="32"/>
        </w:rPr>
        <w:t>较</w:t>
      </w:r>
      <w:r>
        <w:rPr>
          <w:rFonts w:hint="eastAsia" w:ascii="仿宋_GB2312" w:eastAsia="仿宋_GB2312" w:cs="DengXian-Regular"/>
          <w:sz w:val="32"/>
          <w:szCs w:val="32"/>
          <w:lang w:val="en-US" w:eastAsia="zh-CN"/>
        </w:rPr>
        <w:t>2018年度决算无增减变化</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Times New Roman" w:eastAsia="仿宋_GB2312" w:cs="DengXian-Bold"/>
          <w:b/>
          <w:bCs/>
          <w:sz w:val="32"/>
          <w:szCs w:val="32"/>
        </w:rPr>
      </w:pPr>
      <w:r>
        <w:rPr>
          <w:rFonts w:hint="eastAsia" w:ascii="楷体_GB2312" w:hAnsi="Times New Roman" w:eastAsia="楷体_GB2312" w:cs="DengXian-Bold"/>
          <w:b/>
          <w:bCs/>
          <w:sz w:val="32"/>
          <w:szCs w:val="32"/>
        </w:rPr>
        <w:t>（</w:t>
      </w:r>
      <w:r>
        <w:rPr>
          <w:rFonts w:hint="eastAsia" w:ascii="楷体_GB2312" w:hAnsi="Times New Roman" w:eastAsia="楷体_GB2312" w:cs="DengXian-Bold"/>
          <w:b/>
          <w:bCs/>
          <w:sz w:val="32"/>
          <w:szCs w:val="32"/>
          <w:lang w:eastAsia="zh-CN"/>
        </w:rPr>
        <w:t>二</w:t>
      </w:r>
      <w:r>
        <w:rPr>
          <w:rFonts w:hint="eastAsia" w:ascii="楷体_GB2312" w:hAnsi="Times New Roman" w:eastAsia="楷体_GB2312" w:cs="DengXian-Bold"/>
          <w:b/>
          <w:bCs/>
          <w:sz w:val="32"/>
          <w:szCs w:val="32"/>
        </w:rPr>
        <w:t>）公务用车购置及运行维护费支出</w:t>
      </w:r>
      <w:r>
        <w:rPr>
          <w:rFonts w:hint="eastAsia" w:ascii="楷体_GB2312" w:hAnsi="Times New Roman" w:eastAsia="楷体_GB2312" w:cs="DengXian-Bold"/>
          <w:b/>
          <w:bCs/>
          <w:sz w:val="32"/>
          <w:szCs w:val="32"/>
          <w:lang w:val="en-US" w:eastAsia="zh-CN"/>
        </w:rPr>
        <w:t>2.09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1.71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3.11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59.81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Times New Roman" w:eastAsia="仿宋_GB2312" w:cs="DengXian-Bold"/>
          <w:b/>
          <w:bCs/>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年度公务用车购置量</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w:t>
      </w:r>
      <w:r>
        <w:rPr>
          <w:rFonts w:hint="eastAsia" w:ascii="仿宋_GB2312" w:eastAsia="仿宋_GB2312" w:cs="DengXian-Regular"/>
          <w:sz w:val="32"/>
          <w:szCs w:val="32"/>
          <w:lang w:eastAsia="zh-CN"/>
        </w:rPr>
        <w:t>较年初预算无增减变化，</w:t>
      </w:r>
      <w:r>
        <w:rPr>
          <w:rFonts w:hint="eastAsia" w:ascii="仿宋_GB2312" w:hAnsi="Times New Roman" w:eastAsia="仿宋_GB2312" w:cs="DengXian-Regular"/>
          <w:sz w:val="32"/>
          <w:szCs w:val="32"/>
        </w:rPr>
        <w:t>较</w:t>
      </w:r>
      <w:r>
        <w:rPr>
          <w:rFonts w:hint="eastAsia" w:ascii="仿宋_GB2312" w:eastAsia="仿宋_GB2312" w:cs="DengXian-Regular"/>
          <w:sz w:val="32"/>
          <w:szCs w:val="32"/>
          <w:lang w:val="en-US" w:eastAsia="zh-CN"/>
        </w:rPr>
        <w:t>2018年度决算无增减变化</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1.71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3.11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59.81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人次。较上年度减少</w:t>
      </w:r>
      <w:r>
        <w:rPr>
          <w:rFonts w:hint="eastAsia" w:ascii="仿宋_GB2312" w:hAnsi="Times New Roman" w:eastAsia="仿宋_GB2312" w:cs="DengXian-Regular"/>
          <w:sz w:val="32"/>
          <w:szCs w:val="32"/>
          <w:lang w:val="en-US" w:eastAsia="zh-CN"/>
        </w:rPr>
        <w:t>0.05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机构改革部分职能划出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9245.72</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63.90%</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城乡低保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城乡特困</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6953.6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困难残疾人生活补助及重度残疾人护理补贴</w:t>
      </w:r>
      <w:r>
        <w:rPr>
          <w:rFonts w:hint="eastAsia" w:ascii="仿宋_GB2312" w:hAnsi="仿宋_GB2312" w:eastAsia="仿宋_GB2312" w:cs="仿宋_GB2312"/>
          <w:sz w:val="32"/>
          <w:szCs w:val="32"/>
        </w:rPr>
        <w:t>项目及</w:t>
      </w:r>
      <w:r>
        <w:rPr>
          <w:rFonts w:hint="eastAsia" w:ascii="仿宋_GB2312" w:hAnsi="仿宋_GB2312" w:eastAsia="仿宋_GB2312" w:cs="仿宋_GB2312"/>
          <w:sz w:val="32"/>
          <w:szCs w:val="32"/>
          <w:lang w:val="en-US" w:eastAsia="zh-CN"/>
        </w:rPr>
        <w:t>农村特困人员生活费</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个项目绩效自评结果。</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困难残疾人生活补助及重度残疾人护理补贴</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困难残疾人生活补助及重度残疾人护理补贴</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99.2</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865.08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798.68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92.32%</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en-US" w:eastAsia="zh-CN"/>
        </w:rPr>
        <w:t>通过为残疾人发放两项补贴资金加快残疾人小康进程,解决残疾人的基本生活困难</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残疾人补贴发放率达到100%,保证及时足额发放</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农村特困人员生活费</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val="en-US" w:eastAsia="zh-CN"/>
        </w:rPr>
        <w:t>农村特困人员生活费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97.5</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2050.01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1541.42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75.19%</w:t>
      </w:r>
      <w:r>
        <w:rPr>
          <w:rFonts w:hint="eastAsia" w:ascii="仿宋_GB2312" w:hAnsi="仿宋_GB2312" w:eastAsia="仿宋_GB2312" w:cs="仿宋_GB2312"/>
          <w:sz w:val="32"/>
          <w:szCs w:val="32"/>
        </w:rPr>
        <w:t>。项目绩效目标完成情况：一</w:t>
      </w:r>
      <w:r>
        <w:rPr>
          <w:rFonts w:hint="eastAsia" w:ascii="仿宋_GB2312" w:hAnsi="仿宋_GB2312" w:eastAsia="仿宋_GB2312" w:cs="仿宋_GB2312"/>
          <w:sz w:val="32"/>
          <w:szCs w:val="32"/>
          <w:lang w:val="en-US" w:eastAsia="zh-CN"/>
        </w:rPr>
        <w:t>是为特困人员发放基本生活供养费用，为农村特困人员的衣食住行提供了基本保障；二是通过发放农村特困人员救助资金，是维护了社会稳定</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城镇最低生活保障</w:t>
      </w:r>
      <w:r>
        <w:rPr>
          <w:rFonts w:hint="eastAsia" w:ascii="仿宋_GB2312" w:hAnsi="仿宋_GB2312" w:eastAsia="仿宋_GB2312" w:cs="仿宋_GB2312"/>
          <w:sz w:val="32"/>
          <w:szCs w:val="32"/>
        </w:rPr>
        <w:t xml:space="preserve">项目绩效自评综述：根据年初设定的绩效目标， </w:t>
      </w:r>
      <w:r>
        <w:rPr>
          <w:rFonts w:hint="eastAsia" w:ascii="仿宋_GB2312" w:hAnsi="仿宋_GB2312" w:eastAsia="仿宋_GB2312" w:cs="仿宋_GB2312"/>
          <w:sz w:val="32"/>
          <w:szCs w:val="32"/>
          <w:lang w:val="en-US" w:eastAsia="zh-CN"/>
        </w:rPr>
        <w:t>城镇最低生活保障</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97.4</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228.34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169.77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74.35%</w:t>
      </w:r>
      <w:r>
        <w:rPr>
          <w:rFonts w:hint="eastAsia" w:ascii="仿宋_GB2312" w:hAnsi="仿宋_GB2312" w:eastAsia="仿宋_GB2312" w:cs="仿宋_GB2312"/>
          <w:sz w:val="32"/>
          <w:szCs w:val="32"/>
        </w:rPr>
        <w:t>。项目绩效目标完成情况：一</w:t>
      </w:r>
      <w:r>
        <w:rPr>
          <w:rFonts w:hint="eastAsia" w:ascii="仿宋_GB2312" w:hAnsi="仿宋_GB2312" w:eastAsia="仿宋_GB2312" w:cs="仿宋_GB2312"/>
          <w:sz w:val="32"/>
          <w:szCs w:val="32"/>
          <w:lang w:val="en-US" w:eastAsia="zh-CN"/>
        </w:rPr>
        <w:t>是为城镇低保对象发放基本生活费用，为其衣食住行提供了基本保障；二是通过发放城镇最低生活保障资金，是维护了社会稳定</w:t>
      </w:r>
      <w:r>
        <w:rPr>
          <w:rFonts w:hint="eastAsia" w:ascii="仿宋_GB2312" w:hAnsi="仿宋_GB2312" w:eastAsia="仿宋_GB2312" w:cs="仿宋_GB2312"/>
          <w:sz w:val="32"/>
          <w:szCs w:val="32"/>
        </w:rPr>
        <w:t>。</w:t>
      </w:r>
    </w:p>
    <w:p>
      <w:pPr>
        <w:widowControl w:val="0"/>
        <w:numPr>
          <w:ilvl w:val="0"/>
          <w:numId w:val="0"/>
        </w:numPr>
        <w:adjustRightInd w:val="0"/>
        <w:snapToGrid w:val="0"/>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财政评价项目绩效评价结果</w:t>
      </w:r>
    </w:p>
    <w:p>
      <w:pPr>
        <w:adjustRightInd w:val="0"/>
        <w:snapToGrid w:val="0"/>
        <w:spacing w:line="584" w:lineRule="exact"/>
        <w:ind w:firstLine="640" w:firstLineChars="200"/>
        <w:rPr>
          <w:rFonts w:hint="eastAsia" w:ascii="仿宋" w:hAnsi="仿宋" w:eastAsia="仿宋" w:cs="___WRD_EMBED_SUB_42"/>
          <w:sz w:val="32"/>
          <w:szCs w:val="32"/>
          <w:lang w:eastAsia="zh-CN"/>
        </w:rPr>
      </w:pPr>
      <w:r>
        <w:rPr>
          <w:rFonts w:hint="eastAsia" w:ascii="仿宋" w:hAnsi="仿宋" w:eastAsia="仿宋" w:cs="___WRD_EMBED_SUB_42"/>
          <w:sz w:val="32"/>
          <w:szCs w:val="32"/>
        </w:rPr>
        <w:t>通过绩效评价，</w:t>
      </w:r>
      <w:r>
        <w:rPr>
          <w:rFonts w:hint="eastAsia" w:ascii="仿宋" w:hAnsi="仿宋" w:eastAsia="仿宋" w:cs="微软雅黑"/>
          <w:sz w:val="32"/>
          <w:szCs w:val="32"/>
        </w:rPr>
        <w:t>促进了</w:t>
      </w:r>
      <w:r>
        <w:rPr>
          <w:rFonts w:hint="eastAsia" w:ascii="仿宋" w:hAnsi="仿宋" w:eastAsia="仿宋" w:cs="___WRD_EMBED_SUB_42"/>
          <w:sz w:val="32"/>
          <w:szCs w:val="32"/>
        </w:rPr>
        <w:t>项目管理水</w:t>
      </w:r>
      <w:r>
        <w:rPr>
          <w:rFonts w:hint="eastAsia" w:ascii="仿宋" w:hAnsi="仿宋" w:eastAsia="仿宋" w:cs="微软雅黑"/>
          <w:sz w:val="32"/>
          <w:szCs w:val="32"/>
        </w:rPr>
        <w:t>平</w:t>
      </w:r>
      <w:r>
        <w:rPr>
          <w:rFonts w:hint="eastAsia" w:ascii="仿宋" w:hAnsi="仿宋" w:eastAsia="仿宋" w:cs="___WRD_EMBED_SUB_42"/>
          <w:sz w:val="32"/>
          <w:szCs w:val="32"/>
        </w:rPr>
        <w:t>的提</w:t>
      </w:r>
      <w:r>
        <w:rPr>
          <w:rFonts w:hint="eastAsia" w:ascii="仿宋" w:hAnsi="仿宋" w:eastAsia="仿宋" w:cs="微软雅黑"/>
          <w:sz w:val="32"/>
          <w:szCs w:val="32"/>
        </w:rPr>
        <w:t>高</w:t>
      </w:r>
      <w:r>
        <w:rPr>
          <w:rFonts w:hint="eastAsia" w:ascii="仿宋" w:hAnsi="仿宋" w:eastAsia="仿宋" w:cs="___WRD_EMBED_SUB_42"/>
          <w:sz w:val="32"/>
          <w:szCs w:val="32"/>
        </w:rPr>
        <w:t>，</w:t>
      </w:r>
      <w:r>
        <w:rPr>
          <w:rFonts w:hint="eastAsia" w:ascii="仿宋" w:hAnsi="仿宋" w:eastAsia="仿宋" w:cs="微软雅黑"/>
          <w:sz w:val="32"/>
          <w:szCs w:val="32"/>
        </w:rPr>
        <w:t>进</w:t>
      </w:r>
      <w:r>
        <w:rPr>
          <w:rFonts w:hint="eastAsia" w:ascii="仿宋" w:hAnsi="仿宋" w:eastAsia="仿宋" w:cs="___WRD_EMBED_SUB_42"/>
          <w:sz w:val="32"/>
          <w:szCs w:val="32"/>
        </w:rPr>
        <w:t>一</w:t>
      </w:r>
      <w:r>
        <w:rPr>
          <w:rFonts w:hint="eastAsia" w:ascii="仿宋" w:hAnsi="仿宋" w:eastAsia="仿宋" w:cs="微软雅黑"/>
          <w:sz w:val="32"/>
          <w:szCs w:val="32"/>
        </w:rPr>
        <w:t>步</w:t>
      </w:r>
      <w:r>
        <w:rPr>
          <w:rFonts w:hint="eastAsia" w:ascii="仿宋" w:hAnsi="仿宋" w:eastAsia="仿宋" w:cs="___WRD_EMBED_SUB_42"/>
          <w:sz w:val="32"/>
          <w:szCs w:val="32"/>
        </w:rPr>
        <w:t>完</w:t>
      </w:r>
      <w:r>
        <w:rPr>
          <w:rFonts w:hint="eastAsia" w:ascii="仿宋" w:hAnsi="仿宋" w:eastAsia="仿宋" w:cs="微软雅黑"/>
          <w:sz w:val="32"/>
          <w:szCs w:val="32"/>
        </w:rPr>
        <w:t>善了</w:t>
      </w:r>
      <w:r>
        <w:rPr>
          <w:rFonts w:hint="eastAsia" w:ascii="仿宋" w:hAnsi="仿宋" w:eastAsia="仿宋" w:cs="___WRD_EMBED_SUB_42"/>
          <w:sz w:val="32"/>
          <w:szCs w:val="32"/>
        </w:rPr>
        <w:t>规</w:t>
      </w:r>
      <w:r>
        <w:rPr>
          <w:rFonts w:hint="eastAsia" w:ascii="仿宋" w:hAnsi="仿宋" w:eastAsia="仿宋" w:cs="微软雅黑"/>
          <w:sz w:val="32"/>
          <w:szCs w:val="32"/>
        </w:rPr>
        <w:t>章</w:t>
      </w:r>
      <w:r>
        <w:rPr>
          <w:rFonts w:hint="eastAsia" w:ascii="仿宋" w:hAnsi="仿宋" w:eastAsia="仿宋" w:cs="___WRD_EMBED_SUB_42"/>
          <w:sz w:val="32"/>
          <w:szCs w:val="32"/>
        </w:rPr>
        <w:t>制度；明</w:t>
      </w:r>
      <w:r>
        <w:rPr>
          <w:rFonts w:hint="eastAsia" w:ascii="仿宋" w:hAnsi="仿宋" w:eastAsia="仿宋" w:cs="微软雅黑"/>
          <w:sz w:val="32"/>
          <w:szCs w:val="32"/>
        </w:rPr>
        <w:t>确了</w:t>
      </w:r>
      <w:r>
        <w:rPr>
          <w:rFonts w:hint="eastAsia" w:ascii="仿宋" w:hAnsi="仿宋" w:eastAsia="仿宋" w:cs="___WRD_EMBED_SUB_42"/>
          <w:sz w:val="32"/>
          <w:szCs w:val="32"/>
        </w:rPr>
        <w:t>各项目绩效目标，合理设置内</w:t>
      </w:r>
      <w:r>
        <w:rPr>
          <w:rFonts w:hint="eastAsia" w:ascii="仿宋" w:hAnsi="仿宋" w:eastAsia="仿宋" w:cs="微软雅黑"/>
          <w:sz w:val="32"/>
          <w:szCs w:val="32"/>
        </w:rPr>
        <w:t>容</w:t>
      </w:r>
      <w:r>
        <w:rPr>
          <w:rFonts w:hint="eastAsia" w:ascii="仿宋" w:hAnsi="仿宋" w:eastAsia="仿宋" w:cs="___WRD_EMBED_SUB_42"/>
          <w:sz w:val="32"/>
          <w:szCs w:val="32"/>
        </w:rPr>
        <w:t>全面、可</w:t>
      </w:r>
      <w:r>
        <w:rPr>
          <w:rFonts w:hint="eastAsia" w:ascii="仿宋" w:hAnsi="仿宋" w:eastAsia="仿宋" w:cs="微软雅黑"/>
          <w:sz w:val="32"/>
          <w:szCs w:val="32"/>
        </w:rPr>
        <w:t>操</w:t>
      </w:r>
      <w:r>
        <w:rPr>
          <w:rFonts w:hint="eastAsia" w:ascii="仿宋" w:hAnsi="仿宋" w:eastAsia="仿宋" w:cs="___WRD_EMBED_SUB_42"/>
          <w:sz w:val="32"/>
          <w:szCs w:val="32"/>
        </w:rPr>
        <w:t>作性</w:t>
      </w:r>
      <w:r>
        <w:rPr>
          <w:rFonts w:hint="eastAsia" w:ascii="仿宋" w:hAnsi="仿宋" w:eastAsia="仿宋" w:cs="微软雅黑"/>
          <w:sz w:val="32"/>
          <w:szCs w:val="32"/>
        </w:rPr>
        <w:t>强</w:t>
      </w:r>
      <w:r>
        <w:rPr>
          <w:rFonts w:hint="eastAsia" w:ascii="仿宋" w:hAnsi="仿宋" w:eastAsia="仿宋" w:cs="___WRD_EMBED_SUB_42"/>
          <w:sz w:val="32"/>
          <w:szCs w:val="32"/>
        </w:rPr>
        <w:t>的绩效评价指标，</w:t>
      </w:r>
      <w:r>
        <w:rPr>
          <w:rFonts w:hint="eastAsia" w:ascii="仿宋" w:hAnsi="仿宋" w:eastAsia="仿宋" w:cs="微软雅黑"/>
          <w:sz w:val="32"/>
          <w:szCs w:val="32"/>
        </w:rPr>
        <w:t>达</w:t>
      </w:r>
      <w:r>
        <w:rPr>
          <w:rFonts w:hint="eastAsia" w:ascii="仿宋" w:hAnsi="仿宋" w:eastAsia="仿宋" w:cs="___WRD_EMBED_SUB_42"/>
          <w:sz w:val="32"/>
          <w:szCs w:val="32"/>
        </w:rPr>
        <w:t>到</w:t>
      </w:r>
      <w:r>
        <w:rPr>
          <w:rFonts w:hint="eastAsia" w:ascii="仿宋" w:hAnsi="仿宋" w:eastAsia="仿宋" w:cs="微软雅黑"/>
          <w:sz w:val="32"/>
          <w:szCs w:val="32"/>
        </w:rPr>
        <w:t>了</w:t>
      </w:r>
      <w:r>
        <w:rPr>
          <w:rFonts w:hint="eastAsia" w:ascii="仿宋" w:hAnsi="仿宋" w:eastAsia="仿宋" w:cs="___WRD_EMBED_SUB_42"/>
          <w:sz w:val="32"/>
          <w:szCs w:val="32"/>
        </w:rPr>
        <w:t>绩效</w:t>
      </w:r>
      <w:r>
        <w:rPr>
          <w:rFonts w:hint="eastAsia" w:ascii="仿宋" w:hAnsi="仿宋" w:eastAsia="仿宋" w:cs="微软雅黑"/>
          <w:sz w:val="32"/>
          <w:szCs w:val="32"/>
        </w:rPr>
        <w:t>考</w:t>
      </w:r>
      <w:r>
        <w:rPr>
          <w:rFonts w:hint="eastAsia" w:ascii="仿宋" w:hAnsi="仿宋" w:eastAsia="仿宋" w:cs="___WRD_EMBED_SUB_42"/>
          <w:sz w:val="32"/>
          <w:szCs w:val="32"/>
        </w:rPr>
        <w:t>核的目的</w:t>
      </w:r>
      <w:r>
        <w:rPr>
          <w:rFonts w:hint="eastAsia" w:ascii="仿宋" w:hAnsi="仿宋" w:eastAsia="仿宋" w:cs="___WRD_EMBED_SUB_42"/>
          <w:sz w:val="32"/>
          <w:szCs w:val="32"/>
          <w:lang w:eastAsia="zh-CN"/>
        </w:rPr>
        <w:t>。</w:t>
      </w:r>
    </w:p>
    <w:p>
      <w:pPr>
        <w:adjustRightInd w:val="0"/>
        <w:snapToGrid w:val="0"/>
        <w:spacing w:line="584" w:lineRule="exact"/>
        <w:ind w:firstLine="640" w:firstLineChars="200"/>
        <w:rPr>
          <w:rFonts w:hint="eastAsia" w:ascii="仿宋_GB2312" w:hAnsi="仿宋_GB2312" w:eastAsia="仿宋_GB2312" w:cs="仿宋_GB2312"/>
          <w:b/>
          <w:bCs/>
          <w:sz w:val="32"/>
          <w:szCs w:val="32"/>
          <w:lang w:eastAsia="zh-CN"/>
        </w:rPr>
      </w:pPr>
      <w:r>
        <w:rPr>
          <w:rFonts w:hint="eastAsia" w:ascii="Times New Roman" w:hAnsi="Times New Roman" w:eastAsia="仿宋_GB2312" w:cs="Times New Roman"/>
          <w:sz w:val="32"/>
          <w:szCs w:val="32"/>
        </w:rPr>
        <w:t>比如：</w:t>
      </w:r>
      <w:r>
        <w:rPr>
          <w:rFonts w:hint="eastAsia" w:ascii="仿宋_GB2312" w:hAnsi="仿宋_GB2312" w:eastAsia="仿宋_GB2312" w:cs="仿宋_GB2312"/>
          <w:sz w:val="32"/>
          <w:szCs w:val="32"/>
          <w:lang w:val="en-US" w:eastAsia="zh-CN"/>
        </w:rPr>
        <w:t>困难残疾人生活补助及重度残疾人护理补贴</w:t>
      </w:r>
      <w:r>
        <w:rPr>
          <w:rFonts w:hint="eastAsia" w:ascii="仿宋_GB2312" w:hAnsi="仿宋_GB2312" w:eastAsia="仿宋_GB2312" w:cs="仿宋_GB2312"/>
          <w:sz w:val="32"/>
          <w:szCs w:val="32"/>
        </w:rPr>
        <w:t>项目</w:t>
      </w:r>
      <w:r>
        <w:rPr>
          <w:rFonts w:hint="eastAsia" w:ascii="Times New Roman" w:hAnsi="Times New Roman" w:eastAsia="仿宋_GB2312" w:cs="Times New Roman"/>
          <w:sz w:val="32"/>
          <w:szCs w:val="32"/>
        </w:rPr>
        <w:t>，该工作顺利完成了健全的预算绩效管理制度。扩面开展事前绩效评估、事中绩效监控及事后绩效评价。该项目所涉及的绩效评价指标为“优”</w:t>
      </w:r>
      <w:r>
        <w:rPr>
          <w:rFonts w:hint="eastAsia" w:ascii="Times New Roman" w:hAnsi="Times New Roman" w:eastAsia="仿宋_GB2312" w:cs="Times New Roman"/>
          <w:sz w:val="32"/>
          <w:szCs w:val="32"/>
          <w:lang w:eastAsia="zh-CN"/>
        </w:rPr>
        <w:t>。</w:t>
      </w: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utoSpaceDE w:val="0"/>
        <w:autoSpaceDN w:val="0"/>
        <w:spacing w:line="584"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717.46</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239.34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50</w:t>
      </w:r>
      <w:r>
        <w:rPr>
          <w:rFonts w:hint="eastAsia" w:ascii="仿宋_GB2312" w:hAnsi="Times New Roman" w:eastAsia="仿宋_GB2312" w:cs="DengXian-Regular"/>
          <w:sz w:val="32"/>
          <w:szCs w:val="32"/>
        </w:rPr>
        <w:t>%。主要原因是</w:t>
      </w:r>
      <w:r>
        <w:rPr>
          <w:rFonts w:hint="eastAsia" w:ascii="仿宋" w:hAnsi="仿宋" w:eastAsia="仿宋"/>
          <w:sz w:val="32"/>
          <w:szCs w:val="32"/>
        </w:rPr>
        <w:t>主要原因是用于办公区的办公费、印刷费、邮电费、差旅费、日常维修、办公用房水电费、办公用房取暖费等日常运行。</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lang w:val="en-US" w:eastAsia="zh-CN"/>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469.32</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政府采购工程支出</w:t>
      </w:r>
      <w:r>
        <w:rPr>
          <w:rFonts w:hint="eastAsia" w:ascii="仿宋_GB2312" w:hAnsi="仿宋_GB2312" w:eastAsia="仿宋_GB2312" w:cs="仿宋_GB2312"/>
          <w:color w:val="000000"/>
          <w:kern w:val="0"/>
          <w:sz w:val="32"/>
          <w:szCs w:val="32"/>
          <w:lang w:val="en-US" w:eastAsia="zh-CN" w:bidi="ar"/>
        </w:rPr>
        <w:t>310.12</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159.20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469.32</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100</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rPr>
        <w:t>其中授予小微企业合同金额0万元，占政府采购支出总额的</w:t>
      </w:r>
      <w:bookmarkStart w:id="0" w:name="_GoBack"/>
      <w:bookmarkEnd w:id="0"/>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辆。其中，机要通信用车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lang w:val="en-US" w:eastAsia="zh-CN"/>
        </w:rPr>
        <w:t>2018年相比，</w:t>
      </w:r>
      <w:r>
        <w:rPr>
          <w:rFonts w:hint="eastAsia" w:ascii="仿宋_GB2312" w:hAnsi="Times New Roman" w:eastAsia="仿宋_GB2312" w:cs="DengXian-Regular"/>
          <w:sz w:val="32"/>
          <w:szCs w:val="32"/>
        </w:rPr>
        <w:t>机要通信用车</w:t>
      </w:r>
      <w:r>
        <w:rPr>
          <w:rFonts w:hint="eastAsia" w:ascii="仿宋_GB2312" w:hAnsi="Times New Roman" w:eastAsia="仿宋_GB2312" w:cs="DengXian-Regular"/>
          <w:sz w:val="32"/>
          <w:szCs w:val="32"/>
          <w:lang w:val="en-US" w:eastAsia="zh-CN"/>
        </w:rPr>
        <w:t>无变化</w:t>
      </w:r>
      <w:r>
        <w:rPr>
          <w:rFonts w:hint="eastAsia" w:ascii="仿宋_GB2312" w:hAnsi="Times New Roman" w:eastAsia="仿宋_GB2312" w:cs="DengXian-Regular"/>
          <w:sz w:val="32"/>
          <w:szCs w:val="32"/>
        </w:rPr>
        <w:t>，应急保障用车</w:t>
      </w:r>
      <w:r>
        <w:rPr>
          <w:rFonts w:hint="eastAsia" w:ascii="仿宋_GB2312" w:hAnsi="Times New Roman" w:eastAsia="仿宋_GB2312" w:cs="DengXian-Regular"/>
          <w:sz w:val="32"/>
          <w:szCs w:val="32"/>
          <w:lang w:val="en-US" w:eastAsia="zh-CN"/>
        </w:rPr>
        <w:t>无变化。</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与上年相比无变化；</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无，与上年相比无变化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lang w:val="en-US" w:eastAsia="zh-CN"/>
        </w:rPr>
        <w:t>国有资本经营</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val="en-US" w:eastAsia="zh-CN"/>
        </w:rPr>
        <w:t>国有资本经营预算财政拨款支出决算</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6950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6950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
      <w:pPr>
        <w:tabs>
          <w:tab w:val="left" w:pos="235"/>
        </w:tabs>
        <w:jc w:val="left"/>
        <w:sectPr>
          <w:headerReference r:id="rId23"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sz w:val="72"/>
        </w:rPr>
        <mc:AlternateContent>
          <mc:Choice Requires="wps">
            <w:drawing>
              <wp:anchor distT="0" distB="0" distL="114300" distR="114300" simplePos="0" relativeHeight="251670528"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70528;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jc w:val="left"/>
      </w:pPr>
    </w:p>
    <w:tbl>
      <w:tblPr>
        <w:tblStyle w:val="7"/>
        <w:tblpPr w:leftFromText="180" w:rightFromText="180" w:vertAnchor="text" w:horzAnchor="page" w:tblpXSpec="center" w:tblpY="31"/>
        <w:tblOverlap w:val="never"/>
        <w:tblW w:w="9517" w:type="dxa"/>
        <w:jc w:val="center"/>
        <w:tblInd w:w="0" w:type="dxa"/>
        <w:tblLayout w:type="fixed"/>
        <w:tblCellMar>
          <w:top w:w="0" w:type="dxa"/>
          <w:left w:w="0" w:type="dxa"/>
          <w:bottom w:w="0" w:type="dxa"/>
          <w:right w:w="0" w:type="dxa"/>
        </w:tblCellMar>
      </w:tblPr>
      <w:tblGrid>
        <w:gridCol w:w="3286"/>
        <w:gridCol w:w="423"/>
        <w:gridCol w:w="1050"/>
        <w:gridCol w:w="3373"/>
        <w:gridCol w:w="322"/>
        <w:gridCol w:w="1063"/>
      </w:tblGrid>
      <w:tr>
        <w:tblPrEx>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Layout w:type="fixed"/>
          <w:tblCellMar>
            <w:top w:w="0" w:type="dxa"/>
            <w:left w:w="0" w:type="dxa"/>
            <w:bottom w:w="0" w:type="dxa"/>
            <w:right w:w="0" w:type="dxa"/>
          </w:tblCellMar>
        </w:tblPrEx>
        <w:trPr>
          <w:trHeight w:val="205" w:hRule="atLeast"/>
          <w:jc w:val="center"/>
        </w:trPr>
        <w:tc>
          <w:tcPr>
            <w:tcW w:w="32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7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421" w:hRule="atLeast"/>
          <w:jc w:val="center"/>
        </w:trPr>
        <w:tc>
          <w:tcPr>
            <w:tcW w:w="328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廊坊市香河县民政局汇总</w:t>
            </w:r>
          </w:p>
        </w:tc>
        <w:tc>
          <w:tcPr>
            <w:tcW w:w="4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7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284" w:hRule="atLeast"/>
          <w:jc w:val="center"/>
        </w:trPr>
        <w:tc>
          <w:tcPr>
            <w:tcW w:w="475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758"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Layout w:type="fixed"/>
          <w:tblCellMar>
            <w:top w:w="0" w:type="dxa"/>
            <w:left w:w="0" w:type="dxa"/>
            <w:bottom w:w="0" w:type="dxa"/>
            <w:right w:w="0" w:type="dxa"/>
          </w:tblCellMar>
        </w:tblPrEx>
        <w:trPr>
          <w:trHeight w:val="770"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330"/>
                <w:tab w:val="right" w:pos="1001"/>
              </w:tabs>
              <w:jc w:val="left"/>
              <w:textAlignment w:val="center"/>
              <w:rPr>
                <w:rFonts w:ascii="宋体" w:hAnsi="宋体" w:eastAsia="宋体" w:cs="宋体"/>
                <w:color w:val="000000"/>
                <w:sz w:val="22"/>
              </w:rPr>
            </w:pPr>
            <w:r>
              <w:rPr>
                <w:rFonts w:hint="eastAsia" w:ascii="宋体" w:hAnsi="宋体" w:eastAsia="宋体" w:cs="宋体"/>
                <w:color w:val="000000"/>
                <w:kern w:val="0"/>
                <w:sz w:val="22"/>
                <w:lang w:eastAsia="zh-CN" w:bidi="ar"/>
              </w:rPr>
              <w:tab/>
            </w:r>
            <w:r>
              <w:rPr>
                <w:rFonts w:hint="eastAsia" w:ascii="宋体" w:hAnsi="宋体" w:eastAsia="宋体" w:cs="宋体"/>
                <w:color w:val="000000"/>
                <w:kern w:val="0"/>
                <w:sz w:val="22"/>
                <w:lang w:eastAsia="zh-CN" w:bidi="ar"/>
              </w:rPr>
              <w:t>11359.04</w:t>
            </w:r>
            <w:r>
              <w:rPr>
                <w:rFonts w:hint="eastAsia" w:ascii="宋体" w:hAnsi="宋体" w:eastAsia="宋体" w:cs="宋体"/>
                <w:color w:val="000000"/>
                <w:kern w:val="0"/>
                <w:sz w:val="22"/>
                <w:lang w:eastAsia="zh-CN" w:bidi="ar"/>
              </w:rPr>
              <w:tab/>
            </w: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15.48</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1.15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82"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7,908.62</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70.78</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83.01</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3,000.00</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26.11</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40.00</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11360.19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11,145.15</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868.66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1,083.70</w:t>
            </w: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12,228.85</w:t>
            </w:r>
          </w:p>
        </w:tc>
        <w:tc>
          <w:tcPr>
            <w:tcW w:w="3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1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12,228.85</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7"/>
        <w:tblW w:w="10359" w:type="dxa"/>
        <w:jc w:val="center"/>
        <w:tblInd w:w="0" w:type="dxa"/>
        <w:tblLayout w:type="fixed"/>
        <w:tblCellMar>
          <w:top w:w="0" w:type="dxa"/>
          <w:left w:w="0" w:type="dxa"/>
          <w:bottom w:w="0" w:type="dxa"/>
          <w:right w:w="0" w:type="dxa"/>
        </w:tblCellMar>
      </w:tblPr>
      <w:tblGrid>
        <w:gridCol w:w="1349"/>
        <w:gridCol w:w="77"/>
        <w:gridCol w:w="240"/>
        <w:gridCol w:w="2178"/>
        <w:gridCol w:w="1252"/>
        <w:gridCol w:w="1463"/>
        <w:gridCol w:w="760"/>
        <w:gridCol w:w="760"/>
        <w:gridCol w:w="760"/>
        <w:gridCol w:w="760"/>
        <w:gridCol w:w="760"/>
      </w:tblGrid>
      <w:tr>
        <w:tblPrEx>
          <w:tblLayout w:type="fixed"/>
          <w:tblCellMar>
            <w:top w:w="0" w:type="dxa"/>
            <w:left w:w="0" w:type="dxa"/>
            <w:bottom w:w="0" w:type="dxa"/>
            <w:right w:w="0" w:type="dxa"/>
          </w:tblCellMar>
        </w:tblPrEx>
        <w:trPr>
          <w:trHeight w:val="670" w:hRule="atLeast"/>
          <w:jc w:val="center"/>
        </w:trPr>
        <w:tc>
          <w:tcPr>
            <w:tcW w:w="10359"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Layout w:type="fixed"/>
          <w:tblCellMar>
            <w:top w:w="0" w:type="dxa"/>
            <w:left w:w="0" w:type="dxa"/>
            <w:bottom w:w="0" w:type="dxa"/>
            <w:right w:w="0" w:type="dxa"/>
          </w:tblCellMar>
        </w:tblPrEx>
        <w:trPr>
          <w:trHeight w:val="357" w:hRule="atLeast"/>
          <w:jc w:val="center"/>
        </w:trPr>
        <w:tc>
          <w:tcPr>
            <w:tcW w:w="134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5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6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357" w:hRule="atLeast"/>
          <w:jc w:val="center"/>
        </w:trPr>
        <w:tc>
          <w:tcPr>
            <w:tcW w:w="3844"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廊坊市香河县民政局汇总</w:t>
            </w:r>
          </w:p>
        </w:tc>
        <w:tc>
          <w:tcPr>
            <w:tcW w:w="125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6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8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85" w:hRule="atLeast"/>
          <w:jc w:val="center"/>
        </w:trPr>
        <w:tc>
          <w:tcPr>
            <w:tcW w:w="384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25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4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7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7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7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7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7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Layout w:type="fixed"/>
          <w:tblCellMar>
            <w:top w:w="0" w:type="dxa"/>
            <w:left w:w="0" w:type="dxa"/>
            <w:bottom w:w="0" w:type="dxa"/>
            <w:right w:w="0" w:type="dxa"/>
          </w:tblCellMar>
        </w:tblPrEx>
        <w:trPr>
          <w:trHeight w:val="380" w:hRule="atLeast"/>
          <w:jc w:val="center"/>
        </w:trPr>
        <w:tc>
          <w:tcPr>
            <w:tcW w:w="16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功能分类科</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目编码</w:t>
            </w:r>
          </w:p>
        </w:tc>
        <w:tc>
          <w:tcPr>
            <w:tcW w:w="217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2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6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7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6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7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384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2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Layout w:type="fixed"/>
          <w:tblCellMar>
            <w:top w:w="0" w:type="dxa"/>
            <w:left w:w="0" w:type="dxa"/>
            <w:bottom w:w="0" w:type="dxa"/>
            <w:right w:w="0" w:type="dxa"/>
          </w:tblCellMar>
        </w:tblPrEx>
        <w:trPr>
          <w:trHeight w:val="385" w:hRule="atLeast"/>
          <w:jc w:val="center"/>
        </w:trPr>
        <w:tc>
          <w:tcPr>
            <w:tcW w:w="384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11,360.19</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11,360.19</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15.36</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15.36</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人大事务</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15.36</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15.36</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15.36</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15.36</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8,127.34</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8,127.34</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民政管理事务</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948.67</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948.67</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714.31</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714.31</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2080207</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行政区划和地名管理</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143.79</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143.79</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2080299</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90.57</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90.57</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214.47</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214.47</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38.54</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38.54</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175.93</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175.93</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抚恤</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580.21</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580.21</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23.12</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23.12</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2080802</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伤残抚恤</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2080803</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在乡复员、退伍军人生活补助</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209.67</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209.67</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2080804</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优抚事业单位支出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179.32</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179.32</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2080899</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其他优抚支出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54.09</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54.09</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20810</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社会福利</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1,284.64</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1,284.64</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2081001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儿童福利</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2081004</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殡葬</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1,132.20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1,132.20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残疾人事业</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798.81</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798.81</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2081107</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798.81</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798.81</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20819</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最低生活保障</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1,726.94</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1,726.94</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2081901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169.77</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169.77</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2081902</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1,557.16</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1,557.16</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20820</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临时救助</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134.80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134.80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2082001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临时救助支出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98.25</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98.25</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2082002</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流浪乞讨人员救助支出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36.55</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36.55</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特困人员救助供养</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2,184.46</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2,184.46</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2082101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10.25</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10.25</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2082102</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2,174.21</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2,174.21</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20825</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其他生活救助</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2082502</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67.23</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67.23</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医疗救助</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城乡医疗救助</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扶贫</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2130505</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生产发展</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2130599</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其他扶贫支出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219</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援助其他地区支出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21999</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2199900</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26.11</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26.11</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26.11</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26.11</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灾害防治及应急管理支出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22407</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自然灾害救灾及恢复重建支出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2240799</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其他自然灾害生活救助支出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1.15</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1.15</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22960</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彩票公益金安排的支出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1.15</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1.15</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85" w:hRule="atLeast"/>
          <w:jc w:val="center"/>
        </w:trPr>
        <w:tc>
          <w:tcPr>
            <w:tcW w:w="16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2296002</w:t>
            </w:r>
          </w:p>
        </w:tc>
        <w:tc>
          <w:tcPr>
            <w:tcW w:w="2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2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1.15</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1.15</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85" w:hRule="atLeast"/>
          <w:jc w:val="center"/>
        </w:trPr>
        <w:tc>
          <w:tcPr>
            <w:tcW w:w="10359"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7"/>
        <w:tblW w:w="9680" w:type="dxa"/>
        <w:jc w:val="center"/>
        <w:tblInd w:w="0" w:type="dxa"/>
        <w:tblLayout w:type="fixed"/>
        <w:tblCellMar>
          <w:top w:w="0" w:type="dxa"/>
          <w:left w:w="0" w:type="dxa"/>
          <w:bottom w:w="0" w:type="dxa"/>
          <w:right w:w="0" w:type="dxa"/>
        </w:tblCellMar>
      </w:tblPr>
      <w:tblGrid>
        <w:gridCol w:w="1191"/>
        <w:gridCol w:w="67"/>
        <w:gridCol w:w="140"/>
        <w:gridCol w:w="1887"/>
        <w:gridCol w:w="1302"/>
        <w:gridCol w:w="1469"/>
        <w:gridCol w:w="1469"/>
        <w:gridCol w:w="718"/>
        <w:gridCol w:w="718"/>
        <w:gridCol w:w="719"/>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Layout w:type="fixed"/>
          <w:tblCellMar>
            <w:top w:w="0" w:type="dxa"/>
            <w:left w:w="0" w:type="dxa"/>
            <w:bottom w:w="0" w:type="dxa"/>
            <w:right w:w="0" w:type="dxa"/>
          </w:tblCellMar>
        </w:tblPrEx>
        <w:trPr>
          <w:trHeight w:val="313" w:hRule="atLeast"/>
          <w:jc w:val="center"/>
        </w:trPr>
        <w:tc>
          <w:tcPr>
            <w:tcW w:w="11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8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1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1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19"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Layout w:type="fixed"/>
          <w:tblCellMar>
            <w:top w:w="0" w:type="dxa"/>
            <w:left w:w="0" w:type="dxa"/>
            <w:bottom w:w="0" w:type="dxa"/>
            <w:right w:w="0" w:type="dxa"/>
          </w:tblCellMar>
        </w:tblPrEx>
        <w:trPr>
          <w:trHeight w:val="313" w:hRule="atLeast"/>
          <w:jc w:val="center"/>
        </w:trPr>
        <w:tc>
          <w:tcPr>
            <w:tcW w:w="3285"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廊坊市香河县民政局汇总</w:t>
            </w:r>
          </w:p>
        </w:tc>
        <w:tc>
          <w:tcPr>
            <w:tcW w:w="13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1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3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23" w:hRule="atLeast"/>
          <w:jc w:val="center"/>
        </w:trPr>
        <w:tc>
          <w:tcPr>
            <w:tcW w:w="328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30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4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4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71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71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7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9" w:hRule="atLeast"/>
          <w:jc w:val="center"/>
        </w:trPr>
        <w:tc>
          <w:tcPr>
            <w:tcW w:w="139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88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3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39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8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39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8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328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3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7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7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23" w:hRule="atLeast"/>
          <w:jc w:val="center"/>
        </w:trPr>
        <w:tc>
          <w:tcPr>
            <w:tcW w:w="328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人大事务</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7,908.62</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1,841.10</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6,067.52</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民政管理事务</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953.75</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717.46</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236.28</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717.46</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717.46</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2080207</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行政区划和地名管理</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146.21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146.21</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2080299</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90.07</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90.07</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214.47</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214.47</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38.54</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38.54</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175.93</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175.93</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抚恤</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580.21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580.21</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23.12</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23.12</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2080802</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伤残抚恤</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114.00</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114.00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2080803</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在乡复员、退伍军人生活补助</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209.67</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209.67</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2080804</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优抚事业单位支出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179.32</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179.32</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2080899</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其他优抚支出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54.09</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54.09</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20810</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社会福利</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1,061.61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909.17</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2081001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儿童福利</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2081004</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殡葬</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909.17</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909.17</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残疾人事业</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798.68</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798.68</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2081107</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798.68</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798.68</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20819</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最低生活保障</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1,726.94</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1,726.94</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2081901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169.77</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169.77</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2081902</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1,557.16</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1,557.16</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20820</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临时救助</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134.80</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134.80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2082001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临时救助支出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98.25</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98.25</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2082002</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流浪乞讨人员救助支出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36.55</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36.55</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特困人员救助供养</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2,183.83</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2,183.83</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2082101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10.21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10.21</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2082102</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2,173.62</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2,173.62</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20825</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其他生活救助</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2082502</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70.78</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55.19</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医疗救助</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城乡医疗救助</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优抚对象医疗</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3.55</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3.55</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3.55</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3.55</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83.01</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扶贫</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83.01</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2130505</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生产发展</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60.00</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2130507</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扶贫贷款奖补和贴息</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0.01</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2130599</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其他扶贫支出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23.00</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23.00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219</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援助其他地区支出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21999</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2199900</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灾害防治及应急管理支出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40.00</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40.00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22407</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自然灾害救灾及恢复重建支出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40.00</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40.00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2240799</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其他自然灾害生活救助支出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40.00</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40.00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22960</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彩票公益金安排的支出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39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2296002</w:t>
            </w:r>
          </w:p>
        </w:tc>
        <w:tc>
          <w:tcPr>
            <w:tcW w:w="18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7"/>
        <w:tblW w:w="9520" w:type="dxa"/>
        <w:jc w:val="center"/>
        <w:tblInd w:w="0" w:type="dxa"/>
        <w:tblLayout w:type="fixed"/>
        <w:tblCellMar>
          <w:top w:w="0" w:type="dxa"/>
          <w:left w:w="0" w:type="dxa"/>
          <w:bottom w:w="0" w:type="dxa"/>
          <w:right w:w="0" w:type="dxa"/>
        </w:tblCellMar>
      </w:tblPr>
      <w:tblGrid>
        <w:gridCol w:w="2605"/>
        <w:gridCol w:w="314"/>
        <w:gridCol w:w="1009"/>
        <w:gridCol w:w="2618"/>
        <w:gridCol w:w="355"/>
        <w:gridCol w:w="941"/>
        <w:gridCol w:w="982"/>
        <w:gridCol w:w="696"/>
      </w:tblGrid>
      <w:tr>
        <w:tblPrEx>
          <w:tblLayout w:type="fixed"/>
          <w:tblCellMar>
            <w:top w:w="0" w:type="dxa"/>
            <w:left w:w="0" w:type="dxa"/>
            <w:bottom w:w="0" w:type="dxa"/>
            <w:right w:w="0" w:type="dxa"/>
          </w:tblCellMar>
        </w:tblPrEx>
        <w:trPr>
          <w:trHeight w:val="571"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1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1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245" w:hRule="atLeast"/>
          <w:jc w:val="center"/>
        </w:trPr>
        <w:tc>
          <w:tcPr>
            <w:tcW w:w="291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廊坊市香河县民政局汇总</w:t>
            </w:r>
          </w:p>
        </w:tc>
        <w:tc>
          <w:tcPr>
            <w:tcW w:w="10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1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1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249" w:hRule="atLeast"/>
          <w:jc w:val="center"/>
        </w:trPr>
        <w:tc>
          <w:tcPr>
            <w:tcW w:w="392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收     入</w:t>
            </w:r>
          </w:p>
        </w:tc>
        <w:tc>
          <w:tcPr>
            <w:tcW w:w="5592"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     出</w:t>
            </w:r>
          </w:p>
        </w:tc>
      </w:tr>
      <w:tr>
        <w:tblPrEx>
          <w:tblLayout w:type="fixed"/>
          <w:tblCellMar>
            <w:top w:w="0" w:type="dxa"/>
            <w:left w:w="0" w:type="dxa"/>
            <w:bottom w:w="0" w:type="dxa"/>
            <w:right w:w="0" w:type="dxa"/>
          </w:tblCellMar>
        </w:tblPrEx>
        <w:trPr>
          <w:trHeight w:val="312" w:hRule="atLeast"/>
          <w:jc w:val="center"/>
        </w:trPr>
        <w:tc>
          <w:tcPr>
            <w:tcW w:w="26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3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0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w:t>
            </w:r>
          </w:p>
        </w:tc>
        <w:tc>
          <w:tcPr>
            <w:tcW w:w="26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3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4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9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一般公共预算财政拨款</w:t>
            </w:r>
          </w:p>
        </w:tc>
        <w:tc>
          <w:tcPr>
            <w:tcW w:w="6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政府性基金预算财政拨款</w:t>
            </w:r>
          </w:p>
        </w:tc>
      </w:tr>
      <w:tr>
        <w:tblPrEx>
          <w:tblLayout w:type="fixed"/>
          <w:tblCellMar>
            <w:top w:w="0" w:type="dxa"/>
            <w:left w:w="0" w:type="dxa"/>
            <w:bottom w:w="0" w:type="dxa"/>
            <w:right w:w="0" w:type="dxa"/>
          </w:tblCellMar>
        </w:tblPrEx>
        <w:trPr>
          <w:trHeight w:val="857" w:hRule="atLeast"/>
          <w:jc w:val="center"/>
        </w:trPr>
        <w:tc>
          <w:tcPr>
            <w:tcW w:w="26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6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94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9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6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一、一般公共预算财政拨款</w:t>
            </w: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11,359.04</w:t>
            </w: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一、一般公共服务支出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15.48</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15.48</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二、政府性基金预算财政拨款</w:t>
            </w: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1.15</w:t>
            </w: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二、外交支出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三、国防支出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四、公共安全支出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五、教育支出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六、科学技术支出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七、文化旅游体育与传媒支出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八、社会保障和就业支出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7,888.91</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7,888.91</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九、卫生健康支出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70.78</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70.78</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十、节能环保支出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十一、城乡社区支出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十二、农林水支出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83.01</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83.01</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十三、交通运输支出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十四、资源勘探信息等支出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十五、商业服务业等支出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十六、金融支出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十七、援助其他地区支出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3,000.00</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3,000.00</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十八</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自然资源海洋气象支出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十九、住房保障支出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26.11</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26.11</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二十、粮油物资储备支出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二十一、灾害防治及应急管理支出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40.00</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40.00</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二十二、其他支出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1.15</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1.15</w:t>
            </w: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二十四、债务付息支出</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本年收入合计</w:t>
            </w: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11,360.19</w:t>
            </w: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本年支出合计</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11,125.43</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11,124.28</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1.15</w:t>
            </w: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年初财政拨款结转和结余</w:t>
            </w: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848.95</w:t>
            </w: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年末财政拨款结转和结余</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1,083.70</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1,033.70</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50.00</w:t>
            </w: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一、一般公共预算财政拨款</w:t>
            </w: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798.95</w:t>
            </w: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二、政府性基金预算财政拨款</w:t>
            </w: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50.00</w:t>
            </w: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6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总计</w:t>
            </w:r>
          </w:p>
        </w:tc>
        <w:tc>
          <w:tcPr>
            <w:tcW w:w="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12,209.14</w:t>
            </w:r>
          </w:p>
        </w:tc>
        <w:tc>
          <w:tcPr>
            <w:tcW w:w="26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总计</w:t>
            </w:r>
          </w:p>
        </w:tc>
        <w:tc>
          <w:tcPr>
            <w:tcW w:w="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12,209.14</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12,157.99</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51.15</w:t>
            </w:r>
          </w:p>
        </w:tc>
      </w:tr>
      <w:tr>
        <w:tblPrEx>
          <w:tblLayout w:type="fixed"/>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注：本表反映部门本年度一般公共预算财政拨款和政府性基金预算财政拨款的总收支和年末结转结余情况。</w:t>
            </w:r>
          </w:p>
        </w:tc>
      </w:tr>
    </w:tbl>
    <w:p>
      <w:r>
        <w:br w:type="page"/>
      </w:r>
    </w:p>
    <w:tbl>
      <w:tblPr>
        <w:tblStyle w:val="7"/>
        <w:tblW w:w="10550" w:type="dxa"/>
        <w:jc w:val="center"/>
        <w:tblInd w:w="0" w:type="dxa"/>
        <w:tblLayout w:type="fixed"/>
        <w:tblCellMar>
          <w:top w:w="0" w:type="dxa"/>
          <w:left w:w="0" w:type="dxa"/>
          <w:bottom w:w="0" w:type="dxa"/>
          <w:right w:w="0" w:type="dxa"/>
        </w:tblCellMar>
      </w:tblPr>
      <w:tblGrid>
        <w:gridCol w:w="1905"/>
        <w:gridCol w:w="266"/>
        <w:gridCol w:w="3119"/>
        <w:gridCol w:w="387"/>
        <w:gridCol w:w="1314"/>
        <w:gridCol w:w="387"/>
        <w:gridCol w:w="1701"/>
        <w:gridCol w:w="1314"/>
        <w:gridCol w:w="157"/>
      </w:tblGrid>
      <w:tr>
        <w:tblPrEx>
          <w:tblLayout w:type="fixed"/>
          <w:tblCellMar>
            <w:top w:w="0" w:type="dxa"/>
            <w:left w:w="0" w:type="dxa"/>
            <w:bottom w:w="0" w:type="dxa"/>
            <w:right w:w="0" w:type="dxa"/>
          </w:tblCellMar>
        </w:tblPrEx>
        <w:trPr>
          <w:trHeight w:val="600" w:hRule="atLeast"/>
          <w:jc w:val="center"/>
        </w:trPr>
        <w:tc>
          <w:tcPr>
            <w:tcW w:w="10550" w:type="dxa"/>
            <w:gridSpan w:val="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gridAfter w:val="1"/>
          <w:wAfter w:w="157" w:type="dxa"/>
          <w:trHeight w:val="255" w:hRule="atLeast"/>
          <w:jc w:val="center"/>
        </w:trPr>
        <w:tc>
          <w:tcPr>
            <w:tcW w:w="217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1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0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Layout w:type="fixed"/>
          <w:tblCellMar>
            <w:top w:w="0" w:type="dxa"/>
            <w:left w:w="0" w:type="dxa"/>
            <w:bottom w:w="0" w:type="dxa"/>
            <w:right w:w="0" w:type="dxa"/>
          </w:tblCellMar>
        </w:tblPrEx>
        <w:trPr>
          <w:gridAfter w:val="1"/>
          <w:wAfter w:w="157" w:type="dxa"/>
          <w:trHeight w:val="255" w:hRule="atLeast"/>
          <w:jc w:val="center"/>
        </w:trPr>
        <w:tc>
          <w:tcPr>
            <w:tcW w:w="5290"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廊坊市香河县民政局汇总</w:t>
            </w:r>
          </w:p>
        </w:tc>
        <w:tc>
          <w:tcPr>
            <w:tcW w:w="170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0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567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873"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312" w:hRule="atLeast"/>
          <w:jc w:val="center"/>
        </w:trPr>
        <w:tc>
          <w:tcPr>
            <w:tcW w:w="19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72"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701"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70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471"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12" w:hRule="atLeast"/>
          <w:jc w:val="center"/>
        </w:trPr>
        <w:tc>
          <w:tcPr>
            <w:tcW w:w="19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72"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0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0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9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72"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0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0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567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567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人大事务</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15.48</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7,888.91</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1,821.39</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6,067.52</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民政管理事务</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953.75</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717.46</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236.28</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717.46</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717.46</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2080207</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行政区划和地名管理</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146.21</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146.21</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2080299</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90.07</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90.07</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214.47</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214.47</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38.54</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38.54</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175.93</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175.93</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抚恤</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580.21</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580.21</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23.12</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23.12</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2080802</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伤残抚恤</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114.00</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114.00</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2080803</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在乡复员、退伍军人生活补助</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209.67</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209.67</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2080804</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优抚事业单位支出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179.32</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179.32</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2080899</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其他优抚支出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54.09</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54.09</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20810</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社会福利</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1,041.89</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889.46</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2081001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儿童福利</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2081004</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殡葬</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889.46</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889.46</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残疾人事业</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798.68</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798.68</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2081107</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798.68</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798.68</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20819</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最低生活保障</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1,726.94</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1,726.94</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2081901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169.77</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169.77</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2081902</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1,557.16</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1,557.16</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20820</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临时救助</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134.80</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134.80</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2082001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临时救助支出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98.25</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98.25</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2082002</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流浪乞讨人员救助支出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36.55</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36.55</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特困人员救助供养</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2,183.83</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2,183.83</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2082101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10.21</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10.21</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2082102</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2,173.62</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2,173.62</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20825</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其他生活救助</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2082502</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254.34</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70.78</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55.19</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15.59</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医疗救助</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城乡医疗救助</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51.64</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优抚对象医疗</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3.55</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3.55</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3.55</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3.55</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83.01</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83.01</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扶贫</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83.01</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83.01</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2130505</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生产发展</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60.00</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60.00</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2130507</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扶贫贷款奖补和贴息</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0.01</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0.01</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2130599</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其他扶贫支出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23.00</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23.00</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219</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援助其他地区支出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21999</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2199900</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3,000.00</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26.11</w:t>
            </w: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灾害防治及应急管理支出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40.00</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40.00</w:t>
            </w:r>
          </w:p>
        </w:tc>
      </w:tr>
      <w:tr>
        <w:tblPrEx>
          <w:tblLayout w:type="fixed"/>
          <w:tblCellMar>
            <w:top w:w="0" w:type="dxa"/>
            <w:left w:w="0" w:type="dxa"/>
            <w:bottom w:w="0" w:type="dxa"/>
            <w:right w:w="0" w:type="dxa"/>
          </w:tblCellMar>
        </w:tblPrEx>
        <w:trPr>
          <w:trHeight w:val="308" w:hRule="atLeast"/>
          <w:jc w:val="center"/>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2240799</w:t>
            </w:r>
          </w:p>
        </w:tc>
        <w:tc>
          <w:tcPr>
            <w:tcW w:w="377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其他自然灾害生活救助支出</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40.00</w:t>
            </w:r>
          </w:p>
        </w:tc>
        <w:tc>
          <w:tcPr>
            <w:tcW w:w="17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c>
          <w:tcPr>
            <w:tcW w:w="147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40.00</w:t>
            </w:r>
          </w:p>
        </w:tc>
      </w:tr>
      <w:tr>
        <w:tblPrEx>
          <w:tblLayout w:type="fixed"/>
          <w:tblCellMar>
            <w:top w:w="0" w:type="dxa"/>
            <w:left w:w="0" w:type="dxa"/>
            <w:bottom w:w="0" w:type="dxa"/>
            <w:right w:w="0" w:type="dxa"/>
          </w:tblCellMar>
        </w:tblPrEx>
        <w:trPr>
          <w:trHeight w:val="308" w:hRule="atLeast"/>
          <w:jc w:val="center"/>
        </w:trPr>
        <w:tc>
          <w:tcPr>
            <w:tcW w:w="10550" w:type="dxa"/>
            <w:gridSpan w:val="9"/>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r>
        <w:br w:type="page"/>
      </w:r>
    </w:p>
    <w:tbl>
      <w:tblPr>
        <w:tblStyle w:val="7"/>
        <w:tblW w:w="10000" w:type="dxa"/>
        <w:jc w:val="center"/>
        <w:tblInd w:w="0" w:type="dxa"/>
        <w:tblLayout w:type="fixed"/>
        <w:tblCellMar>
          <w:top w:w="0" w:type="dxa"/>
          <w:left w:w="0" w:type="dxa"/>
          <w:bottom w:w="0" w:type="dxa"/>
          <w:right w:w="0" w:type="dxa"/>
        </w:tblCellMar>
      </w:tblPr>
      <w:tblGrid>
        <w:gridCol w:w="541"/>
        <w:gridCol w:w="2114"/>
        <w:gridCol w:w="681"/>
        <w:gridCol w:w="573"/>
        <w:gridCol w:w="1841"/>
        <w:gridCol w:w="777"/>
        <w:gridCol w:w="587"/>
        <w:gridCol w:w="2222"/>
        <w:gridCol w:w="664"/>
      </w:tblGrid>
      <w:tr>
        <w:tblPrEx>
          <w:tblLayout w:type="fixed"/>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5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11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8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7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7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8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88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Layout w:type="fixed"/>
          <w:tblCellMar>
            <w:top w:w="0" w:type="dxa"/>
            <w:left w:w="0" w:type="dxa"/>
            <w:bottom w:w="0" w:type="dxa"/>
            <w:right w:w="0" w:type="dxa"/>
          </w:tblCellMar>
        </w:tblPrEx>
        <w:trPr>
          <w:trHeight w:val="339" w:hRule="atLeast"/>
          <w:jc w:val="center"/>
        </w:trPr>
        <w:tc>
          <w:tcPr>
            <w:tcW w:w="3336"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20"/>
                <w:szCs w:val="20"/>
                <w:lang w:eastAsia="zh-CN" w:bidi="ar"/>
              </w:rPr>
              <w:t>廊坊市香河县民政局汇总</w:t>
            </w:r>
          </w:p>
        </w:tc>
        <w:tc>
          <w:tcPr>
            <w:tcW w:w="57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7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8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88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Layout w:type="fixed"/>
          <w:tblCellMar>
            <w:top w:w="0" w:type="dxa"/>
            <w:left w:w="0" w:type="dxa"/>
            <w:bottom w:w="0" w:type="dxa"/>
            <w:right w:w="0" w:type="dxa"/>
          </w:tblCellMar>
        </w:tblPrEx>
        <w:trPr>
          <w:trHeight w:val="362" w:hRule="atLeast"/>
          <w:jc w:val="center"/>
        </w:trPr>
        <w:tc>
          <w:tcPr>
            <w:tcW w:w="333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人员经费</w:t>
            </w:r>
          </w:p>
        </w:tc>
        <w:tc>
          <w:tcPr>
            <w:tcW w:w="6664"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公用经费</w:t>
            </w:r>
          </w:p>
        </w:tc>
      </w:tr>
      <w:tr>
        <w:tblPrEx>
          <w:tblLayout w:type="fixed"/>
          <w:tblCellMar>
            <w:top w:w="0" w:type="dxa"/>
            <w:left w:w="0" w:type="dxa"/>
            <w:bottom w:w="0" w:type="dxa"/>
            <w:right w:w="0" w:type="dxa"/>
          </w:tblCellMar>
        </w:tblPrEx>
        <w:trPr>
          <w:trHeight w:val="362" w:hRule="atLeast"/>
          <w:jc w:val="center"/>
        </w:trPr>
        <w:tc>
          <w:tcPr>
            <w:tcW w:w="54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科目</w:t>
            </w:r>
          </w:p>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编码</w:t>
            </w:r>
          </w:p>
        </w:tc>
        <w:tc>
          <w:tcPr>
            <w:tcW w:w="21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科目名称</w:t>
            </w:r>
          </w:p>
        </w:tc>
        <w:tc>
          <w:tcPr>
            <w:tcW w:w="68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决算数</w:t>
            </w:r>
          </w:p>
        </w:tc>
        <w:tc>
          <w:tcPr>
            <w:tcW w:w="57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科目编码</w:t>
            </w:r>
          </w:p>
        </w:tc>
        <w:tc>
          <w:tcPr>
            <w:tcW w:w="184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科目名称</w:t>
            </w:r>
          </w:p>
        </w:tc>
        <w:tc>
          <w:tcPr>
            <w:tcW w:w="7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决算数</w:t>
            </w:r>
          </w:p>
        </w:tc>
        <w:tc>
          <w:tcPr>
            <w:tcW w:w="58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科目</w:t>
            </w:r>
          </w:p>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编码</w:t>
            </w:r>
          </w:p>
        </w:tc>
        <w:tc>
          <w:tcPr>
            <w:tcW w:w="222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科目名称</w:t>
            </w:r>
          </w:p>
        </w:tc>
        <w:tc>
          <w:tcPr>
            <w:tcW w:w="6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决算数</w:t>
            </w:r>
          </w:p>
        </w:tc>
      </w:tr>
      <w:tr>
        <w:tblPrEx>
          <w:tblLayout w:type="fixed"/>
          <w:tblCellMar>
            <w:top w:w="0" w:type="dxa"/>
            <w:left w:w="0" w:type="dxa"/>
            <w:bottom w:w="0" w:type="dxa"/>
            <w:right w:w="0" w:type="dxa"/>
          </w:tblCellMar>
        </w:tblPrEx>
        <w:trPr>
          <w:trHeight w:val="349" w:hRule="atLeast"/>
          <w:jc w:val="center"/>
        </w:trPr>
        <w:tc>
          <w:tcPr>
            <w:tcW w:w="54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21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68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57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18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7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58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222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6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工资福利支出</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810.06</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商品和服务支出</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857.32</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债务利息及费用支出</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30101</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基本工资</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184.41</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30201</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办公费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12.02</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30701</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国内债务付息</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30102</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津贴补贴</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244.61</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30202</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印刷费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5.95</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30702</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国外债务付息</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30103</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奖金</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137.28</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30203</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咨询费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0.30</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资本性支出</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25.99</w:t>
            </w: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30106</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伙食补助费</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30204</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手续费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0.02</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31001</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房屋建筑物购建</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30107</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绩效工资</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52.47</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30205</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水费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0.24</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31002</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办公设备购置</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0.97</w:t>
            </w:r>
          </w:p>
        </w:tc>
      </w:tr>
      <w:tr>
        <w:tblPrEx>
          <w:tblLayout w:type="fixed"/>
          <w:tblCellMar>
            <w:top w:w="0" w:type="dxa"/>
            <w:left w:w="0" w:type="dxa"/>
            <w:bottom w:w="0" w:type="dxa"/>
            <w:right w:w="0" w:type="dxa"/>
          </w:tblCellMar>
        </w:tblPrEx>
        <w:trPr>
          <w:trHeight w:val="4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30108</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机关事业单位基本养老保险缴费</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60.10</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30206</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17.74</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31003</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专用设备购置</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30109</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职业年金缴费</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30.91</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30207</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邮电费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21.89</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31005</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基础设施建设</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30110</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职工基本医疗保险缴费</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26.44</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30208</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取暖费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276.01</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31006</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大型修缮</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30111</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公务员医疗补助缴费</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34.37</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30209</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物业管理费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31007</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信息网络及软件购置更新</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30112</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其他社会保障缴费</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2.14</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30211</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差旅费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2.63</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31008</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物资储备</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30113</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住房公积金</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37.34</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30212</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因公出国（境）费用</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31009</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土地补偿</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30114</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医疗费</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30213</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维修（护）费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92.85</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31010</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安置补助</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30199</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其他工资福利支出</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30214</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租赁费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31011</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地上附着物和青苗补偿</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对个人和家庭的补助</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185.21</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30215</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会议费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31012</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拆迁补偿</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30301</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离休费</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30216</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培训费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31013</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公务用车购置</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30302</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退休费</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175.93</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公务接待费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31019</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其他交通工具购置</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25.01</w:t>
            </w: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30303</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退职（役）费</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30218</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专用材料费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309.29</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31021</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文物和陈列品购置</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30304</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抚恤金</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30224</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被装购置费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31022</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无形资产购置</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30305</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生活补助</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9.20</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30225</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专用燃料费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92.04</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31099</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其他资本性支出</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30306</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救济费</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30226</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劳务费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0.55</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其他支出</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30307</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医疗费补助</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30227</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委托业务费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39906</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赠与</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30308</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助学金</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30228</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工会经费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2.60</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39907</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国家赔偿费用支出</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30309</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奖励金</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0.08</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30229</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福利费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2.94</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39908</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w:t>
            </w:r>
            <w:r>
              <w:rPr>
                <w:rFonts w:hint="eastAsia" w:ascii="宋体" w:hAnsi="宋体" w:eastAsia="宋体" w:cs="宋体"/>
                <w:color w:val="000000"/>
                <w:kern w:val="0"/>
                <w:sz w:val="16"/>
                <w:szCs w:val="16"/>
                <w:lang w:bidi="ar"/>
              </w:rPr>
              <w:t xml:space="preserve"> 对民间非营利组织和群众性自治组织补贴</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30310</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个人农业生产补贴</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30231</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公务用车运行维护费</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2.09</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39999</w:t>
            </w: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其他支出</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30399</w:t>
            </w: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其他对个人和家庭的补助</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30239</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其他交通费用</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18.16</w:t>
            </w: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170"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30240</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税金及附加费用</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170" w:hRule="atLeast"/>
          <w:jc w:val="center"/>
        </w:trPr>
        <w:tc>
          <w:tcPr>
            <w:tcW w:w="5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1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30299</w:t>
            </w:r>
          </w:p>
        </w:tc>
        <w:tc>
          <w:tcPr>
            <w:tcW w:w="18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其他商品和服务支出</w:t>
            </w:r>
          </w:p>
        </w:tc>
        <w:tc>
          <w:tcPr>
            <w:tcW w:w="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2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170" w:hRule="atLeast"/>
          <w:jc w:val="center"/>
        </w:trPr>
        <w:tc>
          <w:tcPr>
            <w:tcW w:w="26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人员经费合计</w:t>
            </w:r>
          </w:p>
        </w:tc>
        <w:tc>
          <w:tcPr>
            <w:tcW w:w="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995.26</w:t>
            </w:r>
          </w:p>
        </w:tc>
        <w:tc>
          <w:tcPr>
            <w:tcW w:w="60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公用经费合计</w:t>
            </w:r>
          </w:p>
        </w:tc>
        <w:tc>
          <w:tcPr>
            <w:tcW w:w="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1"/>
                <w:szCs w:val="21"/>
                <w:u w:val="none"/>
                <w:lang w:val="en-US" w:eastAsia="zh-CN" w:bidi="ar"/>
              </w:rPr>
              <w:t>883.30</w:t>
            </w:r>
          </w:p>
        </w:tc>
      </w:tr>
    </w:tbl>
    <w:p>
      <w:r>
        <w:br w:type="page"/>
      </w:r>
    </w:p>
    <w:tbl>
      <w:tblPr>
        <w:tblStyle w:val="7"/>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廊坊市香河县民政局汇总</w:t>
            </w: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2.09</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2.09</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2.09</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7"/>
        <w:tblW w:w="9789" w:type="dxa"/>
        <w:jc w:val="center"/>
        <w:tblInd w:w="0" w:type="dxa"/>
        <w:tblLayout w:type="fixed"/>
        <w:tblCellMar>
          <w:top w:w="0" w:type="dxa"/>
          <w:left w:w="0" w:type="dxa"/>
          <w:bottom w:w="0" w:type="dxa"/>
          <w:right w:w="0" w:type="dxa"/>
        </w:tblCellMar>
      </w:tblPr>
      <w:tblGrid>
        <w:gridCol w:w="1415"/>
        <w:gridCol w:w="1771"/>
        <w:gridCol w:w="853"/>
        <w:gridCol w:w="1150"/>
        <w:gridCol w:w="1150"/>
        <w:gridCol w:w="1150"/>
        <w:gridCol w:w="1150"/>
        <w:gridCol w:w="1150"/>
      </w:tblGrid>
      <w:tr>
        <w:tblPrEx>
          <w:tblLayout w:type="fixed"/>
          <w:tblCellMar>
            <w:top w:w="0" w:type="dxa"/>
            <w:left w:w="0" w:type="dxa"/>
            <w:bottom w:w="0" w:type="dxa"/>
            <w:right w:w="0" w:type="dxa"/>
          </w:tblCellMar>
        </w:tblPrEx>
        <w:trPr>
          <w:trHeight w:val="780" w:hRule="atLeast"/>
          <w:jc w:val="center"/>
        </w:trPr>
        <w:tc>
          <w:tcPr>
            <w:tcW w:w="9789"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318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jc w:val="center"/>
        </w:trPr>
        <w:tc>
          <w:tcPr>
            <w:tcW w:w="318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廊坊市香河县民政局汇总</w:t>
            </w:r>
          </w:p>
        </w:tc>
        <w:tc>
          <w:tcPr>
            <w:tcW w:w="8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31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85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jc w:val="center"/>
        </w:trPr>
        <w:tc>
          <w:tcPr>
            <w:tcW w:w="14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77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8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4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7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4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7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186"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jc w:val="center"/>
        </w:trPr>
        <w:tc>
          <w:tcPr>
            <w:tcW w:w="3186"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50.00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50.00</w:t>
            </w:r>
          </w:p>
        </w:tc>
      </w:tr>
      <w:tr>
        <w:tblPrEx>
          <w:tblLayout w:type="fixed"/>
          <w:tblCellMar>
            <w:top w:w="0" w:type="dxa"/>
            <w:left w:w="0" w:type="dxa"/>
            <w:bottom w:w="0" w:type="dxa"/>
            <w:right w:w="0" w:type="dxa"/>
          </w:tblCellMar>
        </w:tblPrEx>
        <w:trPr>
          <w:trHeight w:val="308" w:hRule="atLeast"/>
          <w:jc w:val="center"/>
        </w:trPr>
        <w:tc>
          <w:tcPr>
            <w:tcW w:w="14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w:t>
            </w:r>
          </w:p>
        </w:tc>
        <w:tc>
          <w:tcPr>
            <w:tcW w:w="17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其他支出</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50.00</w:t>
            </w:r>
          </w:p>
        </w:tc>
      </w:tr>
      <w:tr>
        <w:tblPrEx>
          <w:tblLayout w:type="fixed"/>
          <w:tblCellMar>
            <w:top w:w="0" w:type="dxa"/>
            <w:left w:w="0" w:type="dxa"/>
            <w:bottom w:w="0" w:type="dxa"/>
            <w:right w:w="0" w:type="dxa"/>
          </w:tblCellMar>
        </w:tblPrEx>
        <w:trPr>
          <w:trHeight w:val="308" w:hRule="atLeast"/>
          <w:jc w:val="center"/>
        </w:trPr>
        <w:tc>
          <w:tcPr>
            <w:tcW w:w="14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22960</w:t>
            </w:r>
          </w:p>
        </w:tc>
        <w:tc>
          <w:tcPr>
            <w:tcW w:w="17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彩票公益金安排的支出</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50.00</w:t>
            </w:r>
          </w:p>
        </w:tc>
      </w:tr>
      <w:tr>
        <w:tblPrEx>
          <w:tblLayout w:type="fixed"/>
          <w:tblCellMar>
            <w:top w:w="0" w:type="dxa"/>
            <w:left w:w="0" w:type="dxa"/>
            <w:bottom w:w="0" w:type="dxa"/>
            <w:right w:w="0" w:type="dxa"/>
          </w:tblCellMar>
        </w:tblPrEx>
        <w:trPr>
          <w:trHeight w:val="308" w:hRule="atLeast"/>
          <w:jc w:val="center"/>
        </w:trPr>
        <w:tc>
          <w:tcPr>
            <w:tcW w:w="14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2296002</w:t>
            </w:r>
          </w:p>
        </w:tc>
        <w:tc>
          <w:tcPr>
            <w:tcW w:w="17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50.00</w:t>
            </w:r>
          </w:p>
        </w:tc>
      </w:tr>
      <w:tr>
        <w:tblPrEx>
          <w:tblLayout w:type="fixed"/>
          <w:tblCellMar>
            <w:top w:w="0" w:type="dxa"/>
            <w:left w:w="0" w:type="dxa"/>
            <w:bottom w:w="0" w:type="dxa"/>
            <w:right w:w="0" w:type="dxa"/>
          </w:tblCellMar>
        </w:tblPrEx>
        <w:trPr>
          <w:trHeight w:val="308" w:hRule="atLeast"/>
          <w:jc w:val="center"/>
        </w:trPr>
        <w:tc>
          <w:tcPr>
            <w:tcW w:w="14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9789" w:type="dxa"/>
            <w:gridSpan w:val="8"/>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r>
        <w:br w:type="page"/>
      </w:r>
    </w:p>
    <w:tbl>
      <w:tblPr>
        <w:tblStyle w:val="7"/>
        <w:tblW w:w="9821" w:type="dxa"/>
        <w:jc w:val="center"/>
        <w:tblInd w:w="0" w:type="dxa"/>
        <w:tblLayout w:type="fixed"/>
        <w:tblCellMar>
          <w:top w:w="0" w:type="dxa"/>
          <w:left w:w="0" w:type="dxa"/>
          <w:bottom w:w="0" w:type="dxa"/>
          <w:right w:w="0" w:type="dxa"/>
        </w:tblCellMar>
      </w:tblPr>
      <w:tblGrid>
        <w:gridCol w:w="3237"/>
        <w:gridCol w:w="2549"/>
        <w:gridCol w:w="2103"/>
        <w:gridCol w:w="985"/>
        <w:gridCol w:w="947"/>
      </w:tblGrid>
      <w:tr>
        <w:tblPrEx>
          <w:tblLayout w:type="fixed"/>
          <w:tblCellMar>
            <w:top w:w="0" w:type="dxa"/>
            <w:left w:w="0" w:type="dxa"/>
            <w:bottom w:w="0" w:type="dxa"/>
            <w:right w:w="0" w:type="dxa"/>
          </w:tblCellMar>
        </w:tblPrEx>
        <w:trPr>
          <w:trHeight w:val="840" w:hRule="atLeast"/>
          <w:jc w:val="center"/>
        </w:trPr>
        <w:tc>
          <w:tcPr>
            <w:tcW w:w="9821" w:type="dxa"/>
            <w:gridSpan w:val="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323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4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Layout w:type="fixed"/>
          <w:tblCellMar>
            <w:top w:w="0" w:type="dxa"/>
            <w:left w:w="0" w:type="dxa"/>
            <w:bottom w:w="0" w:type="dxa"/>
            <w:right w:w="0" w:type="dxa"/>
          </w:tblCellMar>
        </w:tblPrEx>
        <w:trPr>
          <w:trHeight w:val="255" w:hRule="atLeast"/>
          <w:jc w:val="center"/>
        </w:trPr>
        <w:tc>
          <w:tcPr>
            <w:tcW w:w="323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廊坊市香河县民政局汇总</w:t>
            </w:r>
          </w:p>
        </w:tc>
        <w:tc>
          <w:tcPr>
            <w:tcW w:w="254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57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03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615" w:hRule="atLeast"/>
          <w:jc w:val="center"/>
        </w:trPr>
        <w:tc>
          <w:tcPr>
            <w:tcW w:w="323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9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08" w:hRule="atLeast"/>
          <w:jc w:val="center"/>
        </w:trPr>
        <w:tc>
          <w:tcPr>
            <w:tcW w:w="5786"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5786"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32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2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2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2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9821" w:type="dxa"/>
            <w:gridSpan w:val="5"/>
            <w:tcBorders>
              <w:top w:val="single" w:color="000000" w:sz="4" w:space="0"/>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楷体" w:hAnsi="楷体" w:eastAsia="楷体" w:cs="楷体"/>
                <w:sz w:val="28"/>
                <w:szCs w:val="28"/>
                <w:highlight w:val="none"/>
              </w:rPr>
              <w:t>本部门本年度无相关收入（或支出、收支及结转结余等）情况，按要求空表列示。</w:t>
            </w:r>
          </w:p>
        </w:tc>
      </w:tr>
    </w:tbl>
    <w:p/>
    <w:sectPr>
      <w:headerReference r:id="rId25" w:type="first"/>
      <w:headerReference r:id="rId24" w:type="default"/>
      <w:footerReference r:id="rId26" w:type="default"/>
      <w:pgSz w:w="11906" w:h="16838"/>
      <w:pgMar w:top="1701" w:right="1417" w:bottom="1281"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微软雅黑">
    <w:panose1 w:val="020B0503020204020204"/>
    <w:charset w:val="86"/>
    <w:family w:val="auto"/>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___WRD_EMBED_SUB_42">
    <w:altName w:val="宋体"/>
    <w:panose1 w:val="00000000000000000000"/>
    <w:charset w:val="86"/>
    <w:family w:val="modern"/>
    <w:pitch w:val="default"/>
    <w:sig w:usb0="00000000" w:usb1="00000000" w:usb2="0000000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9744"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79744;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0768"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80768;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1792"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179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2816"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82816;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588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588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6672"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7667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5648"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7564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8960"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88960;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8998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6912"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6912;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7936"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7936;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3840"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3840;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4864"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4864;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77696;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87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87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2576"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72576;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1552"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71552;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73600;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462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462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5F222FFA"/>
    <w:multiLevelType w:val="singleLevel"/>
    <w:tmpl w:val="5F222FFA"/>
    <w:lvl w:ilvl="0" w:tentative="0">
      <w:start w:val="1"/>
      <w:numFmt w:val="decimal"/>
      <w:suff w:val="nothing"/>
      <w:lvlText w:val="（%1）"/>
      <w:lvlJc w:val="left"/>
    </w:lvl>
  </w:abstractNum>
  <w:abstractNum w:abstractNumId="3">
    <w:nsid w:val="78C1413D"/>
    <w:multiLevelType w:val="singleLevel"/>
    <w:tmpl w:val="78C1413D"/>
    <w:lvl w:ilvl="0" w:tentative="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5B00A30"/>
    <w:rsid w:val="06DE57E0"/>
    <w:rsid w:val="06F54B89"/>
    <w:rsid w:val="0B011416"/>
    <w:rsid w:val="0EEC4834"/>
    <w:rsid w:val="0F621439"/>
    <w:rsid w:val="10B16938"/>
    <w:rsid w:val="11B53FC7"/>
    <w:rsid w:val="13A21DEC"/>
    <w:rsid w:val="13A82595"/>
    <w:rsid w:val="18854B6E"/>
    <w:rsid w:val="1C2F0CB7"/>
    <w:rsid w:val="22BF0D9C"/>
    <w:rsid w:val="2BC16C8F"/>
    <w:rsid w:val="2DB42F36"/>
    <w:rsid w:val="31C2036A"/>
    <w:rsid w:val="320D02A5"/>
    <w:rsid w:val="348C2BBF"/>
    <w:rsid w:val="348E566F"/>
    <w:rsid w:val="38BD78AA"/>
    <w:rsid w:val="391F060D"/>
    <w:rsid w:val="3A226944"/>
    <w:rsid w:val="3AEE6A48"/>
    <w:rsid w:val="3C1620AA"/>
    <w:rsid w:val="3CE3735E"/>
    <w:rsid w:val="3D8F080F"/>
    <w:rsid w:val="3E9D0D0F"/>
    <w:rsid w:val="40791AA9"/>
    <w:rsid w:val="41015A14"/>
    <w:rsid w:val="412A7E7D"/>
    <w:rsid w:val="43772C94"/>
    <w:rsid w:val="44CE1FA4"/>
    <w:rsid w:val="487F73ED"/>
    <w:rsid w:val="494F2AAF"/>
    <w:rsid w:val="4A347EAE"/>
    <w:rsid w:val="4B08628C"/>
    <w:rsid w:val="4CEF55F7"/>
    <w:rsid w:val="4E0A605C"/>
    <w:rsid w:val="50AB68BB"/>
    <w:rsid w:val="51345082"/>
    <w:rsid w:val="52600405"/>
    <w:rsid w:val="529B1050"/>
    <w:rsid w:val="529B4319"/>
    <w:rsid w:val="55E16BBE"/>
    <w:rsid w:val="57773DD6"/>
    <w:rsid w:val="578B79AB"/>
    <w:rsid w:val="57BF77FC"/>
    <w:rsid w:val="5CCD3FD5"/>
    <w:rsid w:val="5E2D0AD3"/>
    <w:rsid w:val="60794EA4"/>
    <w:rsid w:val="61F70198"/>
    <w:rsid w:val="61FA5F9D"/>
    <w:rsid w:val="64CD6910"/>
    <w:rsid w:val="6789158D"/>
    <w:rsid w:val="67D81BA4"/>
    <w:rsid w:val="68EE59A9"/>
    <w:rsid w:val="6AAF1C96"/>
    <w:rsid w:val="6ACB3DE7"/>
    <w:rsid w:val="6BF504C6"/>
    <w:rsid w:val="6C957690"/>
    <w:rsid w:val="6E8E0612"/>
    <w:rsid w:val="6EE53476"/>
    <w:rsid w:val="72160563"/>
    <w:rsid w:val="734542AE"/>
    <w:rsid w:val="737452A6"/>
    <w:rsid w:val="75681757"/>
    <w:rsid w:val="75A346A8"/>
    <w:rsid w:val="76A0533C"/>
    <w:rsid w:val="7923081E"/>
    <w:rsid w:val="79B9382C"/>
    <w:rsid w:val="7A0D48CD"/>
    <w:rsid w:val="7B043B76"/>
    <w:rsid w:val="7C041A6A"/>
    <w:rsid w:val="7E2F295B"/>
    <w:rsid w:val="7E327570"/>
    <w:rsid w:val="7F2F6A39"/>
    <w:rsid w:val="7F5A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ody Text Indent"/>
    <w:basedOn w:val="1"/>
    <w:qFormat/>
    <w:uiPriority w:val="0"/>
    <w:pPr>
      <w:spacing w:line="520" w:lineRule="exact"/>
      <w:ind w:firstLine="640" w:firstLineChars="200"/>
    </w:pPr>
    <w:rPr>
      <w:rFonts w:ascii="仿宋_GB2312" w:eastAsia="仿宋_GB2312"/>
      <w:sz w:val="32"/>
      <w:szCs w:val="32"/>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1</TotalTime>
  <ScaleCrop>false</ScaleCrop>
  <LinksUpToDate>false</LinksUpToDate>
  <CharactersWithSpaces>11119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2021-05-28T08:50:17Z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95731AEC2D7D409F8461E708AA439E7A</vt:lpwstr>
  </property>
</Properties>
</file>